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 w:line="330" w:lineRule="exact"/>
        <w:jc w:val="both"/>
      </w:pPr>
      <w:r>
        <w:rPr>
          <w:rFonts w:ascii="Arial" w:hAnsi="Arial"/>
          <w:b w:val="0"/>
          <w:i w:val="0"/>
          <w:sz w:val="22"/>
        </w:rPr>
        <w:t>Fatores determinantes da insatisfação do consumidor no e-commerce</w:t>
      </w:r>
    </w:p>
    <w:p>
      <w:pPr>
        <w:spacing w:before="0" w:after="0" w:line="330" w:lineRule="exact"/>
        <w:jc w:val="both"/>
      </w:pPr>
      <w:r>
        <w:rPr>
          <w:rFonts w:ascii="Arial" w:hAnsi="Arial"/>
          <w:b w:val="0"/>
          <w:i w:val="0"/>
          <w:sz w:val="22"/>
        </w:rPr>
        <w:t>Maycon Henrique Aranha Da Silva; Gustavo Dantas Lobo</w:t>
      </w:r>
    </w:p>
    <w:p>
      <w:r>
        <w:br w:type="page"/>
      </w:r>
    </w:p>
    <w:p>
      <w:pPr>
        <w:spacing w:before="0" w:after="240" w:line="330" w:lineRule="exact"/>
        <w:jc w:val="both"/>
      </w:pPr>
      <w:r>
        <w:rPr>
          <w:rFonts w:ascii="Arial" w:hAnsi="Arial"/>
          <w:b w:val="0"/>
          <w:i w:val="0"/>
          <w:sz w:val="22"/>
        </w:rPr>
        <w:t>Fatores determinantes da insatisfação do consumidor no e-commerce</w:t>
      </w:r>
    </w:p>
    <w:p>
      <w:pPr>
        <w:spacing w:before="0" w:after="80" w:line="220" w:lineRule="exact"/>
        <w:jc w:val="left"/>
      </w:pPr>
      <w:r>
        <w:rPr>
          <w:rFonts w:ascii="Arial" w:hAnsi="Arial"/>
          <w:b/>
          <w:i w:val="0"/>
          <w:sz w:val="22"/>
        </w:rPr>
        <w:t>Resumo</w:t>
      </w:r>
    </w:p>
    <w:p>
      <w:pPr>
        <w:spacing w:before="0" w:after="80" w:line="220" w:lineRule="exact"/>
        <w:jc w:val="both"/>
      </w:pPr>
      <w:r>
        <w:rPr>
          <w:rFonts w:ascii="Arial" w:hAnsi="Arial"/>
          <w:b w:val="0"/>
          <w:i w:val="0"/>
          <w:sz w:val="22"/>
        </w:rPr>
        <w:t>Este estudo investigou fatores operacionais associados à insatisfação expressa em reviews negativos no e-commerce brasileiro, operacionalizada pela contagem de avaliações com notas 1 e 2 por vendedor. Os dados foram provenientes do Brazilian E-Commerce Public Dataset (Olist, 2018), com 1.754 vendedores após aplicação do critério mínimo de 5 reviews. A análise adotou modelos de regressão para dados de contagem com offset de exposição: estimação de modelo Poisson como baseline, teste de sobredispersão de Cameron e Trivedi, estimação de modelo Binomial Negativa NB2 com parâmetro de dispersão estimado por máxima verossimilhança e seleção de modelo reduzido por AIC, BIC e qui-quadrado de Pearson. A sobredispersão severa (razão variância/média = 52,90; teste de Cameron e Trivedi com p = 2,31 × 10⁻¹⁵) confirmou a inadequação do Poisson e justificou o uso do NB2. O modelo NB2 reduzido apresentou ajuste adequado (AIC = 6.976,7; Pearson χ²/gl = 1,05) e identificou associações significativas com a taxa de reviews negativos: atraso médio de entrega (+4,45% por dia), frete médio (+0,56% por R$) e quatro categorias de produto com taxas superiores ao grupo de categorias omitidas no modelo reduzido — telefonia (+38,2%), cama/mesa/banho (+33,4%), móveis/decoração (+29,2%) e informática/acessórios (+20,8%). Ticket médio, peso do produto e localização geográfica do vendedor não apresentaram associação significativa. Os resultados oferecem evidências quantitativas, de natureza associativa, sobre fatores operacionais relacionados à taxa de reviews negativos em marketplaces brasileiros.</w:t>
      </w:r>
    </w:p>
    <w:p>
      <w:pPr>
        <w:spacing w:before="0" w:after="120" w:line="220" w:lineRule="exact"/>
        <w:jc w:val="both"/>
      </w:pPr>
      <w:r>
        <w:rPr>
          <w:rFonts w:ascii="Arial" w:hAnsi="Arial"/>
          <w:b w:val="0"/>
          <w:i w:val="0"/>
          <w:sz w:val="22"/>
        </w:rPr>
        <w:t>Palavras-chave: sobredispersão; reviews negativos; marketplaces; Binomial Negativa; logística de entrega.</w:t>
      </w:r>
    </w:p>
    <w:p>
      <w:pPr>
        <w:spacing w:before="240" w:after="120" w:line="330" w:lineRule="exact"/>
        <w:jc w:val="left"/>
      </w:pPr>
      <w:r>
        <w:rPr>
          <w:rFonts w:ascii="Arial" w:hAnsi="Arial"/>
          <w:b/>
          <w:i w:val="0"/>
          <w:sz w:val="22"/>
        </w:rPr>
        <w:t>Introdução</w:t>
      </w:r>
    </w:p>
    <w:p>
      <w:pPr>
        <w:spacing w:before="0" w:after="120" w:line="330" w:lineRule="exact"/>
        <w:jc w:val="both"/>
      </w:pPr>
      <w:r>
        <w:rPr>
          <w:rFonts w:ascii="Arial" w:hAnsi="Arial"/>
          <w:b w:val="0"/>
          <w:i w:val="0"/>
          <w:sz w:val="22"/>
        </w:rPr>
        <w:t>O comércio eletrônico brasileiro vem crescendo de forma consistente nos últimos anos. Com esse crescimento, multiplicam-se também as situações em que o consumidor tem uma experiência aquém do esperado, como atrasos na entrega, produtos que chegam danificados ou divergência entre o que foi anunciado e o que foi recebido. Essas experiências costumam ser expressas em avaliações negativas nos marketplaces, o que prejudica tanto o vendedor quanto a plataforma como um todo. Luo e Homburg (2007) mostraram que a satisfação do consumidor se relaciona não apenas à recompra, mas também à eficiência dos investimentos em marketing, o que torna o tema relevante do ponto de vista financeiro.</w:t>
      </w:r>
    </w:p>
    <w:p>
      <w:pPr>
        <w:spacing w:before="0" w:after="120" w:line="330" w:lineRule="exact"/>
        <w:jc w:val="both"/>
      </w:pPr>
      <w:r>
        <w:rPr>
          <w:rFonts w:ascii="Arial" w:hAnsi="Arial"/>
          <w:b w:val="0"/>
          <w:i w:val="0"/>
          <w:sz w:val="22"/>
        </w:rPr>
        <w:t>Do ponto de vista teórico, a satisfação do consumidor resulta da comparação entre a expectativa prévia e o desempenho percebido do serviço. Parasuraman et al. (1985) propuseram que lacunas entre esses dois elementos são a principal causa de percepção de baixa qualidade. No comércio eletrônico, essas lacunas se manifestam especialmente na logística de entrega, que frequentemente foge ao controle direto do vendedor. Kotler e Keller (2018) reafirmam que a gestão da experiência do cliente é pilar para a sustentabilidade de qualquer operação de varejo. Anderson (1998) mostrou que consumidores insatisfeitos tendem a se engajar mais em comunicação boca-a-boca negativo do que satisfeitos em positivo, o que no ambiente digital se traduz em avaliações com alcance amplificado.</w:t>
      </w:r>
    </w:p>
    <w:p>
      <w:pPr>
        <w:spacing w:before="0" w:after="120" w:line="330" w:lineRule="exact"/>
        <w:jc w:val="both"/>
      </w:pPr>
      <w:r>
        <w:rPr>
          <w:rFonts w:ascii="Arial" w:hAnsi="Arial"/>
          <w:b w:val="0"/>
          <w:i w:val="0"/>
          <w:sz w:val="22"/>
        </w:rPr>
        <w:t>Diversos estudos confirmam que avaliações online estão associadas ao desempenho comercial (Chevalier e Mayzlin, 2006; Zhu e Zhang, 2010; Mudambi e Schuff, 2010). A maioria dessas pesquisas, contudo, trata o fenômeno pelo lado do consumidor que lê o review. Pouco se investigou sobre os fatores operacionais associados ao acúmulo de avaliações negativas por vendedor, perspectiva que este trabalho explora.</w:t>
      </w:r>
    </w:p>
    <w:p>
      <w:pPr>
        <w:spacing w:before="0" w:after="120" w:line="330" w:lineRule="exact"/>
        <w:jc w:val="both"/>
      </w:pPr>
      <w:r>
        <w:rPr>
          <w:rFonts w:ascii="Arial" w:hAnsi="Arial"/>
          <w:b w:val="0"/>
          <w:i w:val="0"/>
          <w:sz w:val="22"/>
        </w:rPr>
        <w:t>A contagem de reviews negativos por vendedor é uma variável discreta e não-negativa, o que requer modelos de regressão próprios para dados de contagem. O modelo de Poisson é o ponto de partida natural, mas assume que a variância condicional é igual à média, pressuposto frequentemente violado em dados reais. Quando isso ocorre, configurando sobredispersão, a regressão Binomial Negativa é a alternativa recomendada (Cameron e Trivedi, 2013; Hilbe, 2011). Fávero e Belfiore (2024) detalham a aplicação prática desses modelos em contextos econômicos e de negócios. O objetivo deste trabalho foi identificar fatores operacionais associados à insatisfação expressa em reviews negativos no e-commerce brasileiro, operacionalizada como a contagem de reviews negativos (notas 1 e 2) por vendedor, por meio de modelos de regressão para dados de contagem aplicados a dados transacionais públicos da plataforma Olist (Olist, 2018).</w:t>
      </w:r>
    </w:p>
    <w:p>
      <w:pPr>
        <w:spacing w:before="240" w:after="120" w:line="330" w:lineRule="exact"/>
        <w:jc w:val="left"/>
      </w:pPr>
      <w:r>
        <w:rPr>
          <w:rFonts w:ascii="Arial" w:hAnsi="Arial"/>
          <w:b/>
          <w:i w:val="0"/>
          <w:sz w:val="22"/>
        </w:rPr>
        <w:t>Metodologia</w:t>
      </w:r>
    </w:p>
    <w:p>
      <w:pPr>
        <w:spacing w:before="0" w:after="120" w:line="330" w:lineRule="exact"/>
        <w:jc w:val="both"/>
      </w:pPr>
      <w:r>
        <w:rPr>
          <w:rFonts w:ascii="Arial" w:hAnsi="Arial"/>
          <w:b w:val="0"/>
          <w:i w:val="0"/>
          <w:sz w:val="22"/>
        </w:rPr>
        <w:t>A pesquisa possui caráter quantitativo e descritivo, apoiada em dados secundários de acesso público. A base utilizada foi o Brazilian E-Commerce Public Dataset, disponibilizado pela Olist na plataforma Kaggle (Olist, 2018), com registros de aproximadamente 100 mil pedidos realizados em marketplaces brasileiros entre 2016 e 2018, distribuídos em sete tabelas relacionais: pedidos, itens de pedido, pagamentos, avaliações, produtos, vendedores e tradução de categorias de produto. Por utilizar apenas dados de acesso público, a pesquisa foi dispensada de submissão ao Comitê de Ética em Pesquisa, conforme confirmado pelo Formulário de Direcionamento Ético (FDE).</w:t>
      </w:r>
    </w:p>
    <w:p>
      <w:pPr>
        <w:spacing w:before="0" w:after="120" w:line="330" w:lineRule="exact"/>
        <w:jc w:val="both"/>
      </w:pPr>
      <w:r>
        <w:rPr>
          <w:rFonts w:ascii="Arial" w:hAnsi="Arial"/>
          <w:b w:val="0"/>
          <w:i w:val="0"/>
          <w:sz w:val="22"/>
        </w:rPr>
        <w:t>A unidade de análise foi o vendedor. Os dados das sete tabelas foram cruzados e agregados por identificador do vendedor, gerando uma base cross-section. A variável dependente (Y) foi a contagem de reviews negativos (score 1 ou 2) por vendedor. O offset adotado foi o logaritmo natural do total de reviews recebidos (tᵢ), de modo que o modelo estimasse a taxa de insatisfação e não a contagem absoluta, controlando pelo volume de transações de cada vendedor. As variáveis independentes foram: atraso médio na entrega em dias (calculado como diferença entre a data efetiva de entrega e a data estimada — valores negativos indicam entrega antecipada em relação ao prazo), ticket médio (R$), frete médio (R$), peso médio do produto (g), categoria principal do vendedor e unidade federativa.</w:t>
      </w:r>
    </w:p>
    <w:p>
      <w:pPr>
        <w:spacing w:before="0" w:after="120" w:line="330" w:lineRule="exact"/>
        <w:jc w:val="both"/>
      </w:pPr>
      <w:r>
        <w:rPr>
          <w:rFonts w:ascii="Arial" w:hAnsi="Arial"/>
          <w:b w:val="0"/>
          <w:i w:val="0"/>
          <w:sz w:val="22"/>
        </w:rPr>
        <w:t>Foram incluídos na amostra apenas vendedores com no mínimo 5 reviews, critério adotado para garantir estabilidade na estimativa pontual da taxa de insatisfação por vendedor e mitigar a inflação de zeros estruturais associados a vendedores de volume marginal. Esse filtro reduz a amostra de 2.956 para 1.754 vendedores e restringe a generalização dos resultados a vendedores com volume mínimo de operação. Categorias de produto e estados com menos de 30 vendedores foram agrupados em uma categoria residual denominada "other". A categoria "esportes e lazer" foi adotada explicitamente como referência para produto e o estado de São Paulo como referência geográfica, definidas pelo critério de maior representatividade não residual na amostra. Antes da estimação dos modelos, foi verificada a existência de multicolinearidade entre as variáveis contínuas por meio do Fator de Inflação da Variância (VIF), conforme procedimento descrito por Fávero e Belfiore (2024). Os valores observados estão apresentados na Tabela 1, todos abaixo do limiar de 10, indicando ausência de multicolinearidade problemática.</w:t>
      </w:r>
    </w:p>
    <w:p>
      <w:pPr>
        <w:spacing w:before="200" w:after="40" w:line="220" w:lineRule="exact"/>
        <w:jc w:val="left"/>
      </w:pPr>
      <w:r>
        <w:rPr>
          <w:rFonts w:ascii="Arial" w:hAnsi="Arial"/>
          <w:b w:val="0"/>
          <w:i w:val="0"/>
          <w:sz w:val="22"/>
        </w:rPr>
        <w:t>Tabela 1. Fator de Inflação da Variância (VIF) das variáveis contínuas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sz w:val="20"/>
              </w:rPr>
              <w:t>Variável</w:t>
            </w:r>
          </w:p>
        </w:tc>
        <w:tc>
          <w:tcPr>
            <w:tcW w:type="dxa" w:w="4703"/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sz w:val="20"/>
              </w:rPr>
              <w:t>VIF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b w:val="0"/>
                <w:i w:val="0"/>
                <w:sz w:val="20"/>
              </w:rPr>
              <w:t>Atraso médio</w:t>
            </w:r>
          </w:p>
        </w:tc>
        <w:tc>
          <w:tcPr>
            <w:tcW w:type="dxa" w:w="4703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20"/>
              </w:rPr>
              <w:t>2,74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b w:val="0"/>
                <w:i w:val="0"/>
                <w:sz w:val="20"/>
              </w:rPr>
              <w:t>Ticket médio</w:t>
            </w:r>
          </w:p>
        </w:tc>
        <w:tc>
          <w:tcPr>
            <w:tcW w:type="dxa" w:w="4703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20"/>
              </w:rPr>
              <w:t>2,47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b w:val="0"/>
                <w:i w:val="0"/>
                <w:sz w:val="20"/>
              </w:rPr>
              <w:t>Frete médio</w:t>
            </w:r>
          </w:p>
        </w:tc>
        <w:tc>
          <w:tcPr>
            <w:tcW w:type="dxa" w:w="4703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20"/>
              </w:rPr>
              <w:t>6,87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b w:val="0"/>
                <w:i w:val="0"/>
                <w:sz w:val="20"/>
              </w:rPr>
              <w:t>Peso médio</w:t>
            </w:r>
          </w:p>
        </w:tc>
        <w:tc>
          <w:tcPr>
            <w:tcW w:type="dxa" w:w="4703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20"/>
              </w:rPr>
              <w:t>3,53</w:t>
            </w:r>
          </w:p>
        </w:tc>
      </w:tr>
    </w:tbl>
    <w:p>
      <w:pPr>
        <w:spacing w:before="40" w:after="40" w:line="220" w:lineRule="exact"/>
        <w:jc w:val="left"/>
      </w:pPr>
      <w:r>
        <w:rPr>
          <w:rFonts w:ascii="Arial" w:hAnsi="Arial"/>
          <w:b w:val="0"/>
          <w:i w:val="0"/>
          <w:sz w:val="18"/>
        </w:rPr>
        <w:t>Fonte: Resultados originais da pesquisa.</w:t>
      </w:r>
    </w:p>
    <w:p>
      <w:pPr>
        <w:spacing w:before="0" w:after="120" w:line="330" w:lineRule="exact"/>
        <w:jc w:val="both"/>
      </w:pPr>
      <w:r>
        <w:rPr>
          <w:rFonts w:ascii="Arial" w:hAnsi="Arial"/>
          <w:b w:val="0"/>
          <w:i w:val="0"/>
          <w:sz w:val="22"/>
        </w:rPr>
        <w:t>O procedimento de modelagem seguiu Cameron e Trivedi (2013) e Fávero e Belfiore (2024). A equação central do modelo log-linear com offset é apresentada em (1), em que μᵢ é a contagem esperada de reviews negativos para o vendedor i, tᵢ é o total de reviews recebidos (offset), β₀ é o intercepto e β₁, …, βₖ são os coeficientes associados às variáveis independentes x₁ᵢ, …, xₖᵢ:</w:t>
      </w:r>
    </w:p>
    <w:p>
      <w:pPr>
        <w:spacing w:before="120" w:after="120" w:line="330" w:lineRule="exact"/>
        <w:jc w:val="center"/>
      </w:pPr>
      <w:r>
        <w:rPr>
          <w:rFonts w:ascii="Arial" w:hAnsi="Arial"/>
          <w:b w:val="0"/>
          <w:i w:val="0"/>
          <w:sz w:val="22"/>
        </w:rPr>
        <w:t>log(μᵢ)  =  log(tᵢ) + β₀ + β₁x₁ᵢ + β₂x₂ᵢ + ⋯ + βₖxₖᵢ</w:t>
      </w:r>
      <w:r>
        <w:rPr>
          <w:rFonts w:ascii="Arial" w:hAnsi="Arial"/>
          <w:b w:val="0"/>
          <w:i w:val="0"/>
          <w:sz w:val="22"/>
        </w:rPr>
        <w:t xml:space="preserve">   (1)</w:t>
      </w:r>
    </w:p>
    <w:p>
      <w:pPr>
        <w:spacing w:before="0" w:after="120" w:line="330" w:lineRule="exact"/>
        <w:jc w:val="both"/>
      </w:pPr>
      <w:r>
        <w:rPr>
          <w:rFonts w:ascii="Arial" w:hAnsi="Arial"/>
          <w:b w:val="0"/>
          <w:i w:val="0"/>
          <w:sz w:val="22"/>
        </w:rPr>
        <w:t>O modelo de Poisson pressupõe equidispersão — variância condicional igual à média. O modelo Binomial Negativa NB2 relaxa esse pressuposto ao introduzir um parâmetro de dispersão α, conforme a equação (2). Quando α &gt; 0, a variância supera a média, caracterizando sobredispersão (Cameron e Trivedi, 2013):</w:t>
      </w:r>
    </w:p>
    <w:p>
      <w:pPr>
        <w:spacing w:before="120" w:after="120" w:line="330" w:lineRule="exact"/>
        <w:jc w:val="center"/>
      </w:pPr>
      <w:r>
        <w:rPr>
          <w:rFonts w:ascii="Arial" w:hAnsi="Arial"/>
          <w:b w:val="0"/>
          <w:i w:val="0"/>
          <w:sz w:val="22"/>
        </w:rPr>
        <w:t>Var(Yᵢ | xᵢ)  =  μᵢ  +  α · μᵢ²</w:t>
      </w:r>
      <w:r>
        <w:rPr>
          <w:rFonts w:ascii="Arial" w:hAnsi="Arial"/>
          <w:b w:val="0"/>
          <w:i w:val="0"/>
          <w:sz w:val="22"/>
        </w:rPr>
        <w:t xml:space="preserve">   (2)</w:t>
      </w:r>
    </w:p>
    <w:p>
      <w:pPr>
        <w:spacing w:before="0" w:after="120" w:line="330" w:lineRule="exact"/>
        <w:jc w:val="both"/>
      </w:pPr>
      <w:r>
        <w:rPr>
          <w:rFonts w:ascii="Arial" w:hAnsi="Arial"/>
          <w:b w:val="0"/>
          <w:i w:val="0"/>
          <w:sz w:val="22"/>
        </w:rPr>
        <w:t>A presença de sobredispersão foi verificada pelo teste de Cameron e Trivedi (Cameron e Trivedi, 2013). A comparação formal entre Poisson e NB2 foi realizada pelo teste de razão de verossimilhança (LR). A seleção do modelo final considerou os Critérios de Informação de Akaike (AIC) e Bayesiano (BIC) e a estatística qui-quadrado de Pearson dividida pelos graus de liberdade — valores próximos a 1 indicam bom ajuste (Hilbe, 2011). Variáveis com p-valor superior a 0,05 foram removidas do modelo completo para obtenção de um modelo reduzido e parcimonioso.</w:t>
      </w:r>
    </w:p>
    <w:p>
      <w:pPr>
        <w:spacing w:before="0" w:after="120" w:line="330" w:lineRule="exact"/>
        <w:jc w:val="both"/>
      </w:pPr>
      <w:r>
        <w:rPr>
          <w:rFonts w:ascii="Arial" w:hAnsi="Arial"/>
          <w:b w:val="0"/>
          <w:i w:val="0"/>
          <w:sz w:val="22"/>
        </w:rPr>
        <w:t>A interpretação dos coeficientes foi feita por meio de exp(βⱼ), que representa o fator multiplicativo sobre a taxa esperada de reviews negativos para um incremento unitário em xⱼ, mantidas as demais variáveis constantes. A variação percentual associada é obtida pela equação (3):</w:t>
      </w:r>
    </w:p>
    <w:p>
      <w:pPr>
        <w:spacing w:before="120" w:after="120" w:line="330" w:lineRule="exact"/>
        <w:jc w:val="center"/>
      </w:pPr>
      <w:r>
        <w:rPr>
          <w:rFonts w:ascii="Arial" w:hAnsi="Arial"/>
          <w:b w:val="0"/>
          <w:i w:val="0"/>
          <w:sz w:val="22"/>
        </w:rPr>
        <w:t>Δ%  =  [exp(βⱼ) − 1]  ×  100</w:t>
      </w:r>
      <w:r>
        <w:rPr>
          <w:rFonts w:ascii="Arial" w:hAnsi="Arial"/>
          <w:b w:val="0"/>
          <w:i w:val="0"/>
          <w:sz w:val="22"/>
        </w:rPr>
        <w:t xml:space="preserve">   (3)</w:t>
      </w:r>
    </w:p>
    <w:p>
      <w:pPr>
        <w:spacing w:before="0" w:after="120" w:line="330" w:lineRule="exact"/>
        <w:jc w:val="both"/>
      </w:pPr>
      <w:r>
        <w:rPr>
          <w:rFonts w:ascii="Arial" w:hAnsi="Arial"/>
          <w:b w:val="0"/>
          <w:i w:val="0"/>
          <w:sz w:val="22"/>
        </w:rPr>
        <w:t>As análises foram conduzidas em Python, com uso das bibliotecas pandas e numpy para manipulação de dados, statsmodels para estimação dos modelos de contagem e scipy para testes estatísticos complementares. O percurso analítico adotado é consistente com o algoritmo computacional descrito por Fávero, Duarte e Santos (2024) para verificação de superdispersão e seleção entre modelos de contagem em Python.</w:t>
      </w:r>
    </w:p>
    <w:p>
      <w:pPr>
        <w:spacing w:before="240" w:after="120" w:line="330" w:lineRule="exact"/>
        <w:jc w:val="left"/>
      </w:pPr>
      <w:r>
        <w:rPr>
          <w:rFonts w:ascii="Arial" w:hAnsi="Arial"/>
          <w:b/>
          <w:i w:val="0"/>
          <w:sz w:val="22"/>
        </w:rPr>
        <w:t>Resultados Preliminares</w:t>
      </w:r>
    </w:p>
    <w:p>
      <w:pPr>
        <w:spacing w:before="200" w:after="80" w:line="330" w:lineRule="exact"/>
        <w:ind w:left="709"/>
        <w:jc w:val="left"/>
      </w:pPr>
      <w:r>
        <w:rPr>
          <w:rFonts w:ascii="Arial" w:hAnsi="Arial"/>
          <w:b/>
          <w:i w:val="0"/>
          <w:sz w:val="22"/>
        </w:rPr>
        <w:t>Preparação dos dados e caracterização da amostra</w:t>
      </w:r>
    </w:p>
    <w:p>
      <w:pPr>
        <w:spacing w:before="0" w:after="120" w:line="330" w:lineRule="exact"/>
        <w:jc w:val="both"/>
      </w:pPr>
      <w:r>
        <w:rPr>
          <w:rFonts w:ascii="Arial" w:hAnsi="Arial"/>
          <w:b w:val="0"/>
          <w:i w:val="0"/>
          <w:sz w:val="22"/>
        </w:rPr>
        <w:t>A integração das sete tabelas relacionais e a agregação por identificador de vendedor resultaram em uma base com 1.754 vendedores que atenderam ao critério mínimo de 5 reviews. Para cada vendedor foram calculados o total de reviews recebidos, a contagem de reviews negativos, o atraso médio de entrega em dias, o ticket médio, o frete médio e o peso médio do produto. As 19 categorias de produto com pelo menos 30 vendedores foram mantidas individualmente; as demais foram agrupadas em uma categoria residual. O mesmo procedimento foi aplicado aos estados, resultando em 7 grupos geográficos. A verificação de multicolinearidade pelo VIF indicou ausência de colinearidade problemática: atraso médio (VIF = 2,74), ticket médio (VIF = 2,47), frete médio (VIF = 6,87) e peso médio (VIF = 3,53), todos abaixo do limiar de 10 (Fávero e Belfiore, 2024).</w:t>
      </w:r>
    </w:p>
    <w:p>
      <w:pPr>
        <w:spacing w:before="200" w:after="80" w:line="330" w:lineRule="exact"/>
        <w:ind w:left="709"/>
        <w:jc w:val="left"/>
      </w:pPr>
      <w:r>
        <w:rPr>
          <w:rFonts w:ascii="Arial" w:hAnsi="Arial"/>
          <w:b/>
          <w:i w:val="0"/>
          <w:sz w:val="22"/>
        </w:rPr>
        <w:t>Análise exploratória</w:t>
      </w:r>
    </w:p>
    <w:p>
      <w:pPr>
        <w:spacing w:before="0" w:after="120" w:line="330" w:lineRule="exact"/>
        <w:jc w:val="both"/>
      </w:pPr>
      <w:r>
        <w:rPr>
          <w:rFonts w:ascii="Arial" w:hAnsi="Arial"/>
          <w:b w:val="0"/>
          <w:i w:val="0"/>
          <w:sz w:val="22"/>
        </w:rPr>
        <w:t>A variável dependente apresentou distribuição assimétrica à direita, com concentração de vendedores nos valores baixos de contagem de reviews negativos, conforme a Figura 1. A razão variância/média foi de 52,90, indicando sobredispersão severa já na análise preliminar, o que sinalizou a inadequação do modelo de Poisson antes mesmo da estimação formal.</w:t>
      </w:r>
    </w:p>
    <w:p>
      <w:pPr>
        <w:spacing w:before="200" w:after="40" w:line="220" w:lineRule="exact"/>
        <w:jc w:val="left"/>
      </w:pPr>
      <w:r>
        <w:rPr>
          <w:rFonts w:ascii="Arial" w:hAnsi="Arial"/>
          <w:b w:val="0"/>
          <w:i w:val="0"/>
          <w:sz w:val="22"/>
        </w:rPr>
        <w:t>Figura 1. Distribuição da variável dependente — contagem de reviews negativos por vendedor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029200" cy="17653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a_distribuicao_negativo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7653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 w:line="220" w:lineRule="exact"/>
        <w:jc w:val="left"/>
      </w:pPr>
      <w:r>
        <w:rPr>
          <w:rFonts w:ascii="Arial" w:hAnsi="Arial"/>
          <w:b w:val="0"/>
          <w:i w:val="0"/>
          <w:sz w:val="18"/>
        </w:rPr>
        <w:t>Fonte: Resultados originais da pesquisa.</w:t>
      </w:r>
    </w:p>
    <w:p>
      <w:pPr>
        <w:spacing w:before="0" w:after="120" w:line="330" w:lineRule="exact"/>
        <w:jc w:val="both"/>
      </w:pPr>
      <w:r>
        <w:rPr>
          <w:rFonts w:ascii="Arial" w:hAnsi="Arial"/>
          <w:b w:val="0"/>
          <w:i w:val="0"/>
          <w:sz w:val="22"/>
        </w:rPr>
        <w:t>O atraso médio de entrega foi a variável com maior correlação visual com a contagem de reviews negativos, conforme a Figura 2. A relação observada é coerente com a hipótese operacional de que falhas no prazo de entrega convertem-se em avaliações negativas.</w:t>
      </w:r>
    </w:p>
    <w:p>
      <w:pPr>
        <w:spacing w:before="200" w:after="40" w:line="220" w:lineRule="exact"/>
        <w:jc w:val="left"/>
      </w:pPr>
      <w:r>
        <w:rPr>
          <w:rFonts w:ascii="Arial" w:hAnsi="Arial"/>
          <w:b w:val="0"/>
          <w:i w:val="0"/>
          <w:sz w:val="22"/>
        </w:rPr>
        <w:t>Figura 2. Reviews negativos versus atraso médio de entrega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029200" cy="177191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a_negativos_vs_atras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7719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 w:line="220" w:lineRule="exact"/>
        <w:jc w:val="left"/>
      </w:pPr>
      <w:r>
        <w:rPr>
          <w:rFonts w:ascii="Arial" w:hAnsi="Arial"/>
          <w:b w:val="0"/>
          <w:i w:val="0"/>
          <w:sz w:val="18"/>
        </w:rPr>
        <w:t>Fonte: Resultados originais da pesquisa.</w:t>
      </w:r>
    </w:p>
    <w:p>
      <w:pPr>
        <w:spacing w:before="0" w:after="120" w:line="330" w:lineRule="exact"/>
        <w:jc w:val="both"/>
      </w:pPr>
      <w:r>
        <w:rPr>
          <w:rFonts w:ascii="Arial" w:hAnsi="Arial"/>
          <w:b w:val="0"/>
          <w:i w:val="0"/>
          <w:sz w:val="22"/>
        </w:rPr>
        <w:t>A análise por categoria de produto revelou heterogeneidade na taxa de insatisfação, com algumas categorias apresentando taxas sistematicamente superiores à média geral, conforme a Figura 3. Esse padrão motivou a inclusão das dummies de categoria no modelo como covariáveis explicativas.</w:t>
      </w:r>
    </w:p>
    <w:p>
      <w:pPr>
        <w:spacing w:before="200" w:after="40" w:line="220" w:lineRule="exact"/>
        <w:jc w:val="left"/>
      </w:pPr>
      <w:r>
        <w:rPr>
          <w:rFonts w:ascii="Arial" w:hAnsi="Arial"/>
          <w:b w:val="0"/>
          <w:i w:val="0"/>
          <w:sz w:val="22"/>
        </w:rPr>
        <w:t>Figura 3. Taxa de reviews negativos por categoria de produto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303520" cy="351135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a_negativos_por_categori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5113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 w:line="220" w:lineRule="exact"/>
        <w:jc w:val="left"/>
      </w:pPr>
      <w:r>
        <w:rPr>
          <w:rFonts w:ascii="Arial" w:hAnsi="Arial"/>
          <w:b w:val="0"/>
          <w:i w:val="0"/>
          <w:sz w:val="18"/>
        </w:rPr>
        <w:t>Fonte: Resultados originais da pesquisa.</w:t>
      </w:r>
    </w:p>
    <w:p>
      <w:pPr>
        <w:spacing w:before="200" w:after="80" w:line="330" w:lineRule="exact"/>
        <w:ind w:left="709"/>
        <w:jc w:val="left"/>
      </w:pPr>
      <w:r>
        <w:rPr>
          <w:rFonts w:ascii="Arial" w:hAnsi="Arial"/>
          <w:b/>
          <w:i w:val="0"/>
          <w:sz w:val="22"/>
        </w:rPr>
        <w:t>Verificação de sobredispersão</w:t>
      </w:r>
    </w:p>
    <w:p>
      <w:pPr>
        <w:spacing w:before="0" w:after="120" w:line="330" w:lineRule="exact"/>
        <w:jc w:val="both"/>
      </w:pPr>
      <w:r>
        <w:rPr>
          <w:rFonts w:ascii="Arial" w:hAnsi="Arial"/>
          <w:b w:val="0"/>
          <w:i w:val="0"/>
          <w:sz w:val="22"/>
        </w:rPr>
        <w:t>O teste formal de sobredispersão de Cameron e Trivedi (1990) foi aplicado sobre os resíduos do modelo de Poisson estimado como baseline, por meio do pacote statstests (Fávero, Duarte e Santos, 2024). Os resultados estão consolidados na Tabela 2. A razão variância/média de 52,90 já indicava sobredispersão severa na análise exploratória, confirmada pelo teste formal: o coeficiente β da regressão auxiliar foi de 0,0535, com estatística t = 8,00 e p-valor = 2,31 × 10⁻¹⁵, rejeitando a hipótese nula de equidispersão com ampla margem [equação (2)]. Esse resultado justificou o ajuste do modelo NB2.</w:t>
      </w:r>
    </w:p>
    <w:p>
      <w:pPr>
        <w:spacing w:before="200" w:after="40" w:line="220" w:lineRule="exact"/>
        <w:jc w:val="left"/>
      </w:pPr>
      <w:r>
        <w:rPr>
          <w:rFonts w:ascii="Arial" w:hAnsi="Arial"/>
          <w:b w:val="0"/>
          <w:i w:val="0"/>
          <w:sz w:val="22"/>
        </w:rPr>
        <w:t>Tabela 2. Resultados do teste de sobredispersão de Cameron e Trivedi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sz w:val="20"/>
              </w:rPr>
              <w:t>Estatística</w:t>
            </w:r>
          </w:p>
        </w:tc>
        <w:tc>
          <w:tcPr>
            <w:tcW w:type="dxa" w:w="4703"/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sz w:val="20"/>
              </w:rPr>
              <w:t>Valor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b w:val="0"/>
                <w:i w:val="0"/>
                <w:sz w:val="20"/>
              </w:rPr>
              <w:t>Média de Y (n_negative)</w:t>
            </w:r>
          </w:p>
        </w:tc>
        <w:tc>
          <w:tcPr>
            <w:tcW w:type="dxa" w:w="4703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20"/>
              </w:rPr>
              <w:t>6,88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b w:val="0"/>
                <w:i w:val="0"/>
                <w:sz w:val="20"/>
              </w:rPr>
              <w:t>Variância de Y</w:t>
            </w:r>
          </w:p>
        </w:tc>
        <w:tc>
          <w:tcPr>
            <w:tcW w:type="dxa" w:w="4703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20"/>
              </w:rPr>
              <w:t>363,66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b w:val="0"/>
                <w:i w:val="0"/>
                <w:sz w:val="20"/>
              </w:rPr>
              <w:t>Razão variância/média</w:t>
            </w:r>
          </w:p>
        </w:tc>
        <w:tc>
          <w:tcPr>
            <w:tcW w:type="dxa" w:w="4703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20"/>
              </w:rPr>
              <w:t>52,90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b w:val="0"/>
                <w:i w:val="0"/>
                <w:sz w:val="20"/>
              </w:rPr>
              <w:t>Coeficiente β (regressão auxiliar)</w:t>
            </w:r>
          </w:p>
        </w:tc>
        <w:tc>
          <w:tcPr>
            <w:tcW w:type="dxa" w:w="4703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20"/>
              </w:rPr>
              <w:t>0,0535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b w:val="0"/>
                <w:i w:val="0"/>
                <w:sz w:val="20"/>
              </w:rPr>
              <w:t>Estatística t</w:t>
            </w:r>
          </w:p>
        </w:tc>
        <w:tc>
          <w:tcPr>
            <w:tcW w:type="dxa" w:w="4703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20"/>
              </w:rPr>
              <w:t>8,00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b w:val="0"/>
                <w:i w:val="0"/>
                <w:sz w:val="20"/>
              </w:rPr>
              <w:t>p-valor</w:t>
            </w:r>
          </w:p>
        </w:tc>
        <w:tc>
          <w:tcPr>
            <w:tcW w:type="dxa" w:w="4703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20"/>
              </w:rPr>
              <w:t>2,31 × 10⁻¹⁵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b w:val="0"/>
                <w:i w:val="0"/>
                <w:sz w:val="20"/>
              </w:rPr>
              <w:t>Conclusão</w:t>
            </w:r>
          </w:p>
        </w:tc>
        <w:tc>
          <w:tcPr>
            <w:tcW w:type="dxa" w:w="4703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20"/>
              </w:rPr>
              <w:t>Rejeita H₀ de equidispersão</w:t>
            </w:r>
          </w:p>
        </w:tc>
      </w:tr>
    </w:tbl>
    <w:p>
      <w:pPr>
        <w:spacing w:before="40" w:after="40" w:line="220" w:lineRule="exact"/>
        <w:jc w:val="left"/>
      </w:pPr>
      <w:r>
        <w:rPr>
          <w:rFonts w:ascii="Arial" w:hAnsi="Arial"/>
          <w:b w:val="0"/>
          <w:i w:val="0"/>
          <w:sz w:val="18"/>
        </w:rPr>
        <w:t>Fonte: Resultados originais da pesquisa.</w:t>
      </w:r>
    </w:p>
    <w:p>
      <w:pPr>
        <w:spacing w:before="200" w:after="80" w:line="330" w:lineRule="exact"/>
        <w:ind w:left="709"/>
        <w:jc w:val="left"/>
      </w:pPr>
      <w:r>
        <w:rPr>
          <w:rFonts w:ascii="Arial" w:hAnsi="Arial"/>
          <w:b/>
          <w:i w:val="0"/>
          <w:sz w:val="22"/>
        </w:rPr>
        <w:t>Comparação entre modelos</w:t>
      </w:r>
    </w:p>
    <w:p>
      <w:pPr>
        <w:spacing w:before="0" w:after="120" w:line="330" w:lineRule="exact"/>
        <w:jc w:val="both"/>
      </w:pPr>
      <w:r>
        <w:rPr>
          <w:rFonts w:ascii="Arial" w:hAnsi="Arial"/>
          <w:b w:val="0"/>
          <w:i w:val="0"/>
          <w:sz w:val="22"/>
        </w:rPr>
        <w:t>Foram estimados três modelos: Poisson com todas as variáveis, NB2 completo e NB2 reduzido. O parâmetro de dispersão α foi estimado por máxima verossimilhança. O teste LR entre Poisson e NB2 completo resultou em estatística de 492,03 (p ≈ 5,15 × 10⁻¹⁰⁹), confirmando a superioridade do NB2. A comparação entre NB2 completo e NB2 reduzido pelos critérios AIC e BIC indicou o modelo reduzido como preferível, conforme a Tabela 3.</w:t>
      </w:r>
    </w:p>
    <w:p>
      <w:pPr>
        <w:spacing w:before="0" w:after="120" w:line="330" w:lineRule="exact"/>
        <w:jc w:val="both"/>
      </w:pPr>
      <w:r>
        <w:rPr>
          <w:rFonts w:ascii="Arial" w:hAnsi="Arial"/>
          <w:b w:val="0"/>
          <w:i w:val="0"/>
          <w:sz w:val="22"/>
        </w:rPr>
        <w:t>A passagem do NB2 completo para o reduzido implicou pequena redução da log-verossimilhança (de −3.469,3 para −3.480,3), compensada pela menor complexidade do modelo, refletida nos valores inferiores de AIC (de 6.998,6 para 6.976,7) e BIC (de 7.162,7 para 7.020,4). A escolha do modelo reduzido apoia-se, portanto, na combinação entre parcimônia, critérios de informação e coerência substantiva das variáveis retidas, e não apenas no corte por significância individual.</w:t>
      </w:r>
    </w:p>
    <w:p>
      <w:pPr>
        <w:spacing w:before="200" w:after="40" w:line="220" w:lineRule="exact"/>
        <w:jc w:val="left"/>
      </w:pPr>
      <w:r>
        <w:rPr>
          <w:rFonts w:ascii="Arial" w:hAnsi="Arial"/>
          <w:b w:val="0"/>
          <w:i w:val="0"/>
          <w:sz w:val="22"/>
        </w:rPr>
        <w:t>Tabela 3. Comparação entre modelos de regressão para dados de contagem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sz w:val="20"/>
              </w:rPr>
              <w:t>Métrica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sz w:val="20"/>
              </w:rPr>
              <w:t>Poisson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sz w:val="20"/>
              </w:rPr>
              <w:t>NB2 Completo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sz w:val="20"/>
              </w:rPr>
              <w:t>NB2 Reduzido</w:t>
            </w:r>
          </w:p>
        </w:tc>
      </w:tr>
      <w:tr>
        <w:tc>
          <w:tcPr>
            <w:tcW w:type="dxa" w:w="2351"/>
          </w:tcPr>
          <w:p>
            <w:r>
              <w:rPr>
                <w:rFonts w:ascii="Arial" w:hAnsi="Arial"/>
                <w:b w:val="0"/>
                <w:i w:val="0"/>
                <w:sz w:val="20"/>
              </w:rPr>
              <w:t>AIC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20"/>
              </w:rPr>
              <w:t>7.488,7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20"/>
              </w:rPr>
              <w:t>6.998,6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20"/>
              </w:rPr>
              <w:t>6.976,7</w:t>
            </w:r>
          </w:p>
        </w:tc>
      </w:tr>
      <w:tr>
        <w:tc>
          <w:tcPr>
            <w:tcW w:type="dxa" w:w="2351"/>
          </w:tcPr>
          <w:p>
            <w:r>
              <w:rPr>
                <w:rFonts w:ascii="Arial" w:hAnsi="Arial"/>
                <w:b w:val="0"/>
                <w:i w:val="0"/>
                <w:sz w:val="20"/>
              </w:rPr>
              <w:t>BIC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20"/>
              </w:rPr>
              <w:t>7.647,3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20"/>
              </w:rPr>
              <w:t>7.162,7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20"/>
              </w:rPr>
              <w:t>7.020,4</w:t>
            </w:r>
          </w:p>
        </w:tc>
      </w:tr>
      <w:tr>
        <w:tc>
          <w:tcPr>
            <w:tcW w:type="dxa" w:w="2351"/>
          </w:tcPr>
          <w:p>
            <w:r>
              <w:rPr>
                <w:rFonts w:ascii="Arial" w:hAnsi="Arial"/>
                <w:b w:val="0"/>
                <w:i w:val="0"/>
                <w:sz w:val="20"/>
              </w:rPr>
              <w:t>Log-verossimilhança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20"/>
              </w:rPr>
              <w:t>−3.715,3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20"/>
              </w:rPr>
              <w:t>−3.469,3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20"/>
              </w:rPr>
              <w:t>−3.480,3</w:t>
            </w:r>
          </w:p>
        </w:tc>
      </w:tr>
      <w:tr>
        <w:tc>
          <w:tcPr>
            <w:tcW w:type="dxa" w:w="2351"/>
          </w:tcPr>
          <w:p>
            <w:r>
              <w:rPr>
                <w:rFonts w:ascii="Arial" w:hAnsi="Arial"/>
                <w:b w:val="0"/>
                <w:i w:val="0"/>
                <w:sz w:val="20"/>
              </w:rPr>
              <w:t>Pearson χ²/gl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20"/>
              </w:rPr>
              <w:t>1,7887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20"/>
              </w:rPr>
              <w:t>n/d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20"/>
              </w:rPr>
              <w:t>1,0506</w:t>
            </w:r>
          </w:p>
        </w:tc>
      </w:tr>
    </w:tbl>
    <w:p>
      <w:pPr>
        <w:spacing w:before="40" w:after="40" w:line="220" w:lineRule="exact"/>
        <w:jc w:val="left"/>
      </w:pPr>
      <w:r>
        <w:rPr>
          <w:rFonts w:ascii="Arial" w:hAnsi="Arial"/>
          <w:b w:val="0"/>
          <w:i w:val="0"/>
          <w:sz w:val="18"/>
        </w:rPr>
        <w:t>Fonte: Resultados originais da pesquisa.</w:t>
      </w:r>
    </w:p>
    <w:p>
      <w:pPr>
        <w:spacing w:before="200" w:after="80" w:line="330" w:lineRule="exact"/>
        <w:ind w:left="709"/>
        <w:jc w:val="left"/>
      </w:pPr>
      <w:r>
        <w:rPr>
          <w:rFonts w:ascii="Arial" w:hAnsi="Arial"/>
          <w:b/>
          <w:i w:val="0"/>
          <w:sz w:val="22"/>
        </w:rPr>
        <w:t>Modelo final: coeficientes e interpretação</w:t>
      </w:r>
    </w:p>
    <w:p>
      <w:pPr>
        <w:spacing w:before="0" w:after="120" w:line="330" w:lineRule="exact"/>
        <w:jc w:val="both"/>
      </w:pPr>
      <w:r>
        <w:rPr>
          <w:rFonts w:ascii="Arial" w:hAnsi="Arial"/>
          <w:b w:val="0"/>
          <w:i w:val="0"/>
          <w:sz w:val="22"/>
        </w:rPr>
        <w:t>O modelo NB2 reduzido reteve seis variáveis com coeficientes estatisticamente significativos ao nível de 5%: atraso médio de entrega, frete médio e quatro categorias de produto (telefonia, cama/mesa/banho, móveis/decoração e informática/acessórios). O parâmetro de dispersão estimado foi α = 0,1184. As associações estimadas com a taxa esperada de insatisfação foram calculadas pela equação (3) e estão apresentadas na Tabela 4.</w:t>
      </w:r>
    </w:p>
    <w:p>
      <w:pPr>
        <w:spacing w:before="200" w:after="40" w:line="220" w:lineRule="exact"/>
        <w:jc w:val="left"/>
      </w:pPr>
      <w:r>
        <w:rPr>
          <w:rFonts w:ascii="Arial" w:hAnsi="Arial"/>
          <w:b w:val="0"/>
          <w:i w:val="0"/>
          <w:sz w:val="22"/>
        </w:rPr>
        <w:t>Tabela 4. Coeficientes estimados — modelo NB2 reduzido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sz w:val="20"/>
              </w:rPr>
              <w:t>Variável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sz w:val="20"/>
              </w:rPr>
              <w:t>Coeficiente (βⱼ)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sz w:val="20"/>
              </w:rPr>
              <w:t>exp(βⱼ)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sz w:val="20"/>
              </w:rPr>
              <w:t>Δ% na taxa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sz w:val="20"/>
              </w:rPr>
              <w:t>p-valor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b w:val="0"/>
                <w:i w:val="0"/>
                <w:sz w:val="20"/>
              </w:rPr>
              <w:t>Atraso médio (dias)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20"/>
              </w:rPr>
              <w:t>0,0435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20"/>
              </w:rPr>
              <w:t>1,0445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20"/>
              </w:rPr>
              <w:t>+4,45% por dia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20"/>
              </w:rPr>
              <w:t>1,93 × 10⁻²⁶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b w:val="0"/>
                <w:i w:val="0"/>
                <w:sz w:val="20"/>
              </w:rPr>
              <w:t>Frete médio (R$)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20"/>
              </w:rPr>
              <w:t>0,0056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20"/>
              </w:rPr>
              <w:t>1,0056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20"/>
              </w:rPr>
              <w:t>+0,56% por R$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20"/>
              </w:rPr>
              <w:t>1,51 × 10⁻⁹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b w:val="0"/>
                <w:i w:val="0"/>
                <w:sz w:val="20"/>
              </w:rPr>
              <w:t>Categoria: telefonia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20"/>
              </w:rPr>
              <w:t>0,3237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20"/>
              </w:rPr>
              <w:t>1,3823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20"/>
              </w:rPr>
              <w:t>+38,2%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20"/>
              </w:rPr>
              <w:t>9,36 × 10⁻⁵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b w:val="0"/>
                <w:i w:val="0"/>
                <w:sz w:val="20"/>
              </w:rPr>
              <w:t>Categoria: cama/mesa/banho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20"/>
              </w:rPr>
              <w:t>0,2881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20"/>
              </w:rPr>
              <w:t>1,3339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20"/>
              </w:rPr>
              <w:t>+33,4%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20"/>
              </w:rPr>
              <w:t>7,86 × 10⁻⁷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b w:val="0"/>
                <w:i w:val="0"/>
                <w:sz w:val="20"/>
              </w:rPr>
              <w:t>Categoria: móveis/decoração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20"/>
              </w:rPr>
              <w:t>0,2563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20"/>
              </w:rPr>
              <w:t>1,2921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20"/>
              </w:rPr>
              <w:t>+29,2%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20"/>
              </w:rPr>
              <w:t>1,14 × 10⁻⁵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b w:val="0"/>
                <w:i w:val="0"/>
                <w:sz w:val="20"/>
              </w:rPr>
              <w:t>Categoria: informática/acessórios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20"/>
              </w:rPr>
              <w:t>0,1894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20"/>
              </w:rPr>
              <w:t>1,2085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20"/>
              </w:rPr>
              <w:t>+20,8%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20"/>
              </w:rPr>
              <w:t>1,62 × 10⁻³</w:t>
            </w:r>
          </w:p>
        </w:tc>
      </w:tr>
    </w:tbl>
    <w:p>
      <w:pPr>
        <w:spacing w:before="40" w:after="40" w:line="220" w:lineRule="exact"/>
        <w:jc w:val="left"/>
      </w:pPr>
      <w:r>
        <w:rPr>
          <w:rFonts w:ascii="Arial" w:hAnsi="Arial"/>
          <w:b w:val="0"/>
          <w:i w:val="0"/>
          <w:sz w:val="18"/>
        </w:rPr>
        <w:t>Fonte: Resultados originais da pesquisa.</w:t>
      </w:r>
    </w:p>
    <w:p>
      <w:pPr>
        <w:spacing w:before="0" w:after="160" w:line="220" w:lineRule="exact"/>
        <w:jc w:val="left"/>
      </w:pPr>
      <w:r>
        <w:rPr>
          <w:rFonts w:ascii="Arial" w:hAnsi="Arial"/>
          <w:b w:val="0"/>
          <w:i w:val="0"/>
          <w:sz w:val="18"/>
        </w:rPr>
        <w:t>Nota: Δ% calculado por [exp(βⱼ) − 1] × 100, conforme equação (3). No modelo completo, esportes e lazer foi a categoria de referência base; no modelo reduzido, as quatro categorias retidas são interpretadas em relação ao grupo das demais categorias omitidas — esportes e lazer somada às categorias com efeito não significativo (p ≥ 0,05) que foram removidas no procedimento de seleção. Offset = log(total de reviews).</w:t>
      </w:r>
    </w:p>
    <w:p>
      <w:pPr>
        <w:spacing w:before="200" w:after="40" w:line="220" w:lineRule="exact"/>
        <w:jc w:val="left"/>
      </w:pPr>
      <w:r>
        <w:rPr>
          <w:rFonts w:ascii="Arial" w:hAnsi="Arial"/>
          <w:b w:val="0"/>
          <w:i w:val="0"/>
          <w:sz w:val="22"/>
        </w:rPr>
        <w:t>Figura 4. Magnitudes das associações significativas do modelo NB2 reduzido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029200" cy="175726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terp_coeficient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7572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 w:line="220" w:lineRule="exact"/>
        <w:jc w:val="left"/>
      </w:pPr>
      <w:r>
        <w:rPr>
          <w:rFonts w:ascii="Arial" w:hAnsi="Arial"/>
          <w:b w:val="0"/>
          <w:i w:val="0"/>
          <w:sz w:val="18"/>
        </w:rPr>
        <w:t>Fonte: Resultados originais da pesquisa.</w:t>
      </w:r>
    </w:p>
    <w:p>
      <w:pPr>
        <w:spacing w:before="0" w:after="120" w:line="330" w:lineRule="exact"/>
        <w:jc w:val="both"/>
      </w:pPr>
      <w:r>
        <w:rPr>
          <w:rFonts w:ascii="Arial" w:hAnsi="Arial"/>
          <w:b w:val="0"/>
          <w:i w:val="0"/>
          <w:sz w:val="22"/>
        </w:rPr>
        <w:t>O atraso médio de entrega foi a variável com maior significância estatística: cada dia adicional de atraso está associado a um aumento de 4,45% na taxa esperada de insatisfação, mantidas as demais variáveis constantes [equação (1)]. O frete médio apresentou associação positiva e significativa, de menor magnitude (0,56% por R$). Entre as categorias de produto, todas as quatro retidas no modelo apresentaram taxas de insatisfação significativamente superiores ao grupo de referência (esportes e lazer e demais categorias omitidas no modelo reduzido): telefonia (+38,2%), cama/mesa/banho (+33,4%), móveis/decoração (+29,2%) e informática/acessórios (+20,8%).</w:t>
      </w:r>
    </w:p>
    <w:p>
      <w:pPr>
        <w:spacing w:before="0" w:after="120" w:line="330" w:lineRule="exact"/>
        <w:jc w:val="both"/>
      </w:pPr>
      <w:r>
        <w:rPr>
          <w:rFonts w:ascii="Arial" w:hAnsi="Arial"/>
          <w:b w:val="0"/>
          <w:i w:val="0"/>
          <w:sz w:val="22"/>
        </w:rPr>
        <w:t>O ticket médio e o peso médio do produto não apresentaram associação estatisticamente significativa com a taxa de insatisfação (p &gt; 0,05) e foram removidos do modelo final. Nenhuma das dummies de unidade federativa foi significativa, indicando que, após controle pelos demais fatores operacionais, a localização geográfica do vendedor não apresentou associação adicional com a taxa de insatisfação nos dados analisados. Esse resultado diverge da expectativa inicial e pode refletir a concentração de vendedores no estado de São Paulo, o que reduz a variabilidade residual entre grupos geográficos após o controle das demais covariáveis.</w:t>
      </w:r>
    </w:p>
    <w:p>
      <w:pPr>
        <w:spacing w:before="200" w:after="80" w:line="330" w:lineRule="exact"/>
        <w:ind w:left="709"/>
        <w:jc w:val="left"/>
      </w:pPr>
      <w:r>
        <w:rPr>
          <w:rFonts w:ascii="Arial" w:hAnsi="Arial"/>
          <w:b/>
          <w:i w:val="0"/>
          <w:sz w:val="22"/>
        </w:rPr>
        <w:t>Diagnóstico do modelo</w:t>
      </w:r>
    </w:p>
    <w:p>
      <w:pPr>
        <w:spacing w:before="0" w:after="120" w:line="330" w:lineRule="exact"/>
        <w:jc w:val="both"/>
      </w:pPr>
      <w:r>
        <w:rPr>
          <w:rFonts w:ascii="Arial" w:hAnsi="Arial"/>
          <w:b w:val="0"/>
          <w:i w:val="0"/>
          <w:sz w:val="22"/>
        </w:rPr>
        <w:t>A estatística qui-quadrado de Pearson dividida pelos graus de liberdade resultou em 1,05 no modelo NB2 reduzido, valor próximo de 1 e indicativo de bom ajuste (Hilbe, 2011). A análise dos resíduos de Pearson não revelou padrões sistemáticos de heterocedasticidade, conforme a Figura 5. O pseudo R² de Cox-Snell foi de 0,10, valor baixo em termos absolutos, mas consistente com o padrão reportado para modelos de contagem ajustados a dados cross-section de elevada heterogeneidade individual (Hilbe, 2011).</w:t>
      </w:r>
    </w:p>
    <w:p>
      <w:pPr>
        <w:spacing w:before="200" w:after="40" w:line="220" w:lineRule="exact"/>
        <w:jc w:val="left"/>
      </w:pPr>
      <w:r>
        <w:rPr>
          <w:rFonts w:ascii="Arial" w:hAnsi="Arial"/>
          <w:b w:val="0"/>
          <w:i w:val="0"/>
          <w:sz w:val="22"/>
        </w:rPr>
        <w:t>Figura 5. Diagnóstico de resíduos de Pearson — modelo NB2 reduzido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029200" cy="177416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terp_diagnostico_residuo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774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 w:line="220" w:lineRule="exact"/>
        <w:jc w:val="left"/>
      </w:pPr>
      <w:r>
        <w:rPr>
          <w:rFonts w:ascii="Arial" w:hAnsi="Arial"/>
          <w:b w:val="0"/>
          <w:i w:val="0"/>
          <w:sz w:val="18"/>
        </w:rPr>
        <w:t>Fonte: Resultados originais da pesquisa.</w:t>
      </w:r>
    </w:p>
    <w:p>
      <w:pPr>
        <w:spacing w:before="200" w:after="80" w:line="330" w:lineRule="exact"/>
        <w:ind w:left="709"/>
        <w:jc w:val="left"/>
      </w:pPr>
      <w:r>
        <w:rPr>
          <w:rFonts w:ascii="Arial" w:hAnsi="Arial"/>
          <w:b/>
          <w:i w:val="0"/>
          <w:sz w:val="22"/>
        </w:rPr>
        <w:t>Limitações</w:t>
      </w:r>
    </w:p>
    <w:p>
      <w:pPr>
        <w:spacing w:before="0" w:after="120" w:line="330" w:lineRule="exact"/>
        <w:jc w:val="both"/>
      </w:pPr>
      <w:r>
        <w:rPr>
          <w:rFonts w:ascii="Arial" w:hAnsi="Arial"/>
          <w:b w:val="0"/>
          <w:i w:val="0"/>
          <w:sz w:val="22"/>
        </w:rPr>
        <w:t>Os coeficientes estimados refletem associações condicionais entre as variáveis operacionais e a taxa de reviews negativos, não devendo ser interpretados como efeitos causais, dada a natureza observacional dos dados e a possível omissão de variáveis não observadas (qualidade do atendimento, embalagem, comunicação pós-venda, transportadora). Adicionalmente, atraso, frete e categoria de produto guardam correlações operacionais esperadas — produtos mais pesados tendem a apresentar frete e prazo de entrega superiores —, o que implica que parte da associação estimada para o frete pode estar capturando heterogeneidade logística associada à categoria. O filtro de pelo menos 5 reviews restringe a análise a vendedores com volume mínimo de operação, limitando a generalização dos resultados a esse perfil. Por fim, na construção da base, pedidos com múltiplos vendedores tiveram o review atribuído a apenas um vendedor por meio de deduplicação por order_id; o alcance dessa simplificação é marginal, pois apenas 1,30% dos pedidos da base contam com mais de um vendedor.</w:t>
      </w:r>
    </w:p>
    <w:p>
      <w:pPr>
        <w:spacing w:before="0" w:after="120" w:line="330" w:lineRule="exact"/>
        <w:jc w:val="both"/>
      </w:pPr>
      <w:r>
        <w:rPr>
          <w:rFonts w:ascii="Arial" w:hAnsi="Arial"/>
          <w:b w:val="0"/>
          <w:i w:val="0"/>
          <w:sz w:val="22"/>
        </w:rPr>
        <w:t>A contagem de reviews negativos deve ser interpretada como proxy de insatisfação expressa por consumidores que efetivamente avaliaram a compra. A medida não captura consumidores insatisfeitos que não deixaram avaliação e pode refletir viés de seleção no comportamento de avaliação online.</w:t>
      </w:r>
    </w:p>
    <w:p>
      <w:pPr>
        <w:spacing w:before="0" w:after="120" w:line="330" w:lineRule="exact"/>
        <w:jc w:val="both"/>
      </w:pPr>
      <w:r>
        <w:rPr>
          <w:rFonts w:ascii="Arial" w:hAnsi="Arial"/>
          <w:b w:val="0"/>
          <w:i w:val="0"/>
          <w:sz w:val="22"/>
        </w:rPr>
        <w:t>A base utilizada cobre pedidos de 2016 a 2018 e reflete a operação da Olist nesse período; a generalização dos resultados para o e-commerce brasileiro contemporâneo deve considerar mudanças posteriores em logística, comportamento do consumidor e composição da plataforma.</w:t>
      </w:r>
    </w:p>
    <w:p>
      <w:pPr>
        <w:spacing w:before="0" w:after="120" w:line="330" w:lineRule="exact"/>
        <w:jc w:val="both"/>
      </w:pPr>
      <w:r>
        <w:rPr>
          <w:rFonts w:ascii="Arial" w:hAnsi="Arial"/>
          <w:b w:val="0"/>
          <w:i w:val="0"/>
          <w:sz w:val="22"/>
        </w:rPr>
        <w:t>Como os reviews negativos constituem um subconjunto do total de reviews recebidos por vendedor, modelos para proporção, como especificações binomiais, quasi-binomiais ou beta-binomiais, poderiam ser considerados em análises futuras. Neste estudo, optou-se pela NB2 com offset log(total de reviews) por se tratar de abordagem consolidada para taxas de eventos em dados de contagem com sobredispersão.</w:t>
      </w:r>
    </w:p>
    <w:p>
      <w:pPr>
        <w:spacing w:before="0" w:after="120" w:line="330" w:lineRule="exact"/>
        <w:jc w:val="both"/>
      </w:pPr>
      <w:r>
        <w:rPr>
          <w:rFonts w:ascii="Arial" w:hAnsi="Arial"/>
          <w:b w:val="0"/>
          <w:i w:val="0"/>
          <w:sz w:val="22"/>
        </w:rPr>
        <w:t>Modelos inflacionados de zeros (ZIP e ZINB) foram considerados como alternativas, dada a ocorrência de aproximadamente 21% de zeros na variável dependente (Lambert, 1992). A comparação entre o NB2 reduzido e o ZINB de mesma especificação no componente de contagem foi conduzida pelo teste de Vuong (1989), que não indicou superioridade estatística do ZINB sobre o NB2 (z = 0,0010; p = 0,4996). O critério AIC também favoreceu o NB2 (6.976,7) frente ao ZINB (6.978,7). A especificação NB2 foi mantida por acomodar satisfatoriamente os zeros amostrais sem a complexidade adicional de um componente inflado de zeros (Fávero, Duarte e Santos, 2024).</w:t>
      </w:r>
    </w:p>
    <w:p>
      <w:pPr>
        <w:spacing w:before="200" w:after="80" w:line="330" w:lineRule="exact"/>
        <w:ind w:left="709"/>
        <w:jc w:val="left"/>
      </w:pPr>
      <w:r>
        <w:rPr>
          <w:rFonts w:ascii="Arial" w:hAnsi="Arial"/>
          <w:b/>
          <w:i w:val="0"/>
          <w:sz w:val="22"/>
        </w:rPr>
        <w:t>Concentração da insatisfação entre vendedores</w:t>
      </w:r>
    </w:p>
    <w:p>
      <w:pPr>
        <w:spacing w:before="0" w:after="120" w:line="330" w:lineRule="exact"/>
        <w:jc w:val="both"/>
      </w:pPr>
      <w:r>
        <w:rPr>
          <w:rFonts w:ascii="Arial" w:hAnsi="Arial"/>
          <w:b w:val="0"/>
          <w:i w:val="0"/>
          <w:sz w:val="22"/>
        </w:rPr>
        <w:t>A distribuição dos reviews negativos entre vendedores não é homogênea. A curva de Lorenz construída sobre a contagem de reviews negativos por vendedor apresentou coeficiente de Gini de 0,747, indicando concentração elevada. Os 20% de vendedores com maior número de reviews negativos respondem por 77,9% do total registrado na base; os 10% mais expostos concentram 62,8%. Esse padrão é consistente com o comportamento típico de marketplaces, em que um conjunto minoritário de lojistas responde por parcela desproporcional das reclamações, e ajuda a contextualizar o foco analítico do modelo proposto.</w:t>
      </w:r>
    </w:p>
    <w:p>
      <w:pPr>
        <w:spacing w:before="200" w:after="40" w:line="220" w:lineRule="exact"/>
        <w:jc w:val="left"/>
      </w:pPr>
      <w:r>
        <w:rPr>
          <w:rFonts w:ascii="Arial" w:hAnsi="Arial"/>
          <w:b w:val="0"/>
          <w:i w:val="0"/>
          <w:sz w:val="22"/>
        </w:rPr>
        <w:t>Figura 6. Curva de Lorenz da contagem de reviews negativos por vendedor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029200" cy="376262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lorenz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7626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 w:line="220" w:lineRule="exact"/>
        <w:jc w:val="left"/>
      </w:pPr>
      <w:r>
        <w:rPr>
          <w:rFonts w:ascii="Arial" w:hAnsi="Arial"/>
          <w:b w:val="0"/>
          <w:i w:val="0"/>
          <w:sz w:val="18"/>
        </w:rPr>
        <w:t>Fonte: Resultados originais da pesquisa.</w:t>
      </w:r>
    </w:p>
    <w:p>
      <w:pPr>
        <w:spacing w:before="200" w:after="80" w:line="330" w:lineRule="exact"/>
        <w:ind w:left="709"/>
        <w:jc w:val="left"/>
      </w:pPr>
      <w:r>
        <w:rPr>
          <w:rFonts w:ascii="Arial" w:hAnsi="Arial"/>
          <w:b/>
          <w:i w:val="0"/>
          <w:sz w:val="22"/>
        </w:rPr>
        <w:t>Efeitos marginais médios</w:t>
      </w:r>
    </w:p>
    <w:p>
      <w:pPr>
        <w:spacing w:before="0" w:after="120" w:line="330" w:lineRule="exact"/>
        <w:jc w:val="both"/>
      </w:pPr>
      <w:r>
        <w:rPr>
          <w:rFonts w:ascii="Arial" w:hAnsi="Arial"/>
          <w:b w:val="0"/>
          <w:i w:val="0"/>
          <w:sz w:val="22"/>
        </w:rPr>
        <w:t>Como complemento à interpretação por exp(βⱼ), foram calculados os efeitos marginais médios (AME) das variáveis contínuas significativas, traduzindo os coeficientes em variação esperada na contagem de reviews negativos para o vendedor médio da amostra. O AME do atraso médio foi de 0,29 review negativo adicional por dia, e o do frete médio foi de 0,04 review por real, conforme a Tabela 5. Os valores absolutos são pequenos quando avaliados por unidade, mas tornam-se relevantes quando agregados ao volume total da plataforma.</w:t>
      </w:r>
    </w:p>
    <w:p>
      <w:pPr>
        <w:spacing w:before="200" w:after="40" w:line="220" w:lineRule="exact"/>
        <w:jc w:val="left"/>
      </w:pPr>
      <w:r>
        <w:rPr>
          <w:rFonts w:ascii="Arial" w:hAnsi="Arial"/>
          <w:b w:val="0"/>
          <w:i w:val="0"/>
          <w:sz w:val="22"/>
        </w:rPr>
        <w:t>Tabela 5. Efeitos marginais médios — modelo NB2 reduzido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sz w:val="20"/>
              </w:rPr>
              <w:t>Variável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sz w:val="20"/>
              </w:rPr>
              <w:t>AME (reviews negativos)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sz w:val="20"/>
              </w:rPr>
              <w:t>Unidade</w:t>
            </w:r>
          </w:p>
        </w:tc>
      </w:tr>
      <w:tr>
        <w:tc>
          <w:tcPr>
            <w:tcW w:type="dxa" w:w="3135"/>
          </w:tcPr>
          <w:p>
            <w:r>
              <w:rPr>
                <w:rFonts w:ascii="Arial" w:hAnsi="Arial"/>
                <w:b w:val="0"/>
                <w:i w:val="0"/>
                <w:sz w:val="20"/>
              </w:rPr>
              <w:t>Atraso médio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20"/>
              </w:rPr>
              <w:t>0,29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20"/>
              </w:rPr>
              <w:t>por dia</w:t>
            </w:r>
          </w:p>
        </w:tc>
      </w:tr>
      <w:tr>
        <w:tc>
          <w:tcPr>
            <w:tcW w:type="dxa" w:w="3135"/>
          </w:tcPr>
          <w:p>
            <w:r>
              <w:rPr>
                <w:rFonts w:ascii="Arial" w:hAnsi="Arial"/>
                <w:b w:val="0"/>
                <w:i w:val="0"/>
                <w:sz w:val="20"/>
              </w:rPr>
              <w:t>Frete médio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20"/>
              </w:rPr>
              <w:t>0,04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20"/>
              </w:rPr>
              <w:t>por R$</w:t>
            </w:r>
          </w:p>
        </w:tc>
      </w:tr>
    </w:tbl>
    <w:p>
      <w:pPr>
        <w:spacing w:before="40" w:after="40" w:line="220" w:lineRule="exact"/>
        <w:jc w:val="left"/>
      </w:pPr>
      <w:r>
        <w:rPr>
          <w:rFonts w:ascii="Arial" w:hAnsi="Arial"/>
          <w:b w:val="0"/>
          <w:i w:val="0"/>
          <w:sz w:val="18"/>
        </w:rPr>
        <w:t>Fonte: Resultados originais da pesquisa.</w:t>
      </w:r>
    </w:p>
    <w:p>
      <w:pPr>
        <w:spacing w:before="0" w:after="160" w:line="220" w:lineRule="exact"/>
        <w:jc w:val="left"/>
      </w:pPr>
      <w:r>
        <w:rPr>
          <w:rFonts w:ascii="Arial" w:hAnsi="Arial"/>
          <w:b w:val="0"/>
          <w:i w:val="0"/>
          <w:sz w:val="18"/>
        </w:rPr>
        <w:t>Nota: AME calculado como média de μᵢ · βⱼ sobre todos os vendedores da amostra.</w:t>
      </w:r>
    </w:p>
    <w:p>
      <w:pPr>
        <w:spacing w:before="200" w:after="80" w:line="330" w:lineRule="exact"/>
        <w:ind w:left="709"/>
        <w:jc w:val="left"/>
      </w:pPr>
      <w:r>
        <w:rPr>
          <w:rFonts w:ascii="Arial" w:hAnsi="Arial"/>
          <w:b/>
          <w:i w:val="0"/>
          <w:sz w:val="22"/>
        </w:rPr>
        <w:t>Calibração do modelo</w:t>
      </w:r>
    </w:p>
    <w:p>
      <w:pPr>
        <w:spacing w:before="0" w:after="120" w:line="330" w:lineRule="exact"/>
        <w:jc w:val="both"/>
      </w:pPr>
      <w:r>
        <w:rPr>
          <w:rFonts w:ascii="Arial" w:hAnsi="Arial"/>
          <w:b w:val="0"/>
          <w:i w:val="0"/>
          <w:sz w:val="22"/>
        </w:rPr>
        <w:t>A calibração do modelo foi avaliada pela comparação entre contagem prevista (μ) e contagem observada (y), tanto no nível individual quanto agregada por decis de predição, conforme a Figura 7. No nível individual, observa-se dispersão esperada para dados de contagem, e a média por decil aproxima-se da reta y = x ao longo de todo o espectro de predições, indicando ausência de viés sistemático de sub ou superpredição.</w:t>
      </w:r>
    </w:p>
    <w:p>
      <w:pPr>
        <w:spacing w:before="200" w:after="40" w:line="220" w:lineRule="exact"/>
        <w:jc w:val="left"/>
      </w:pPr>
      <w:r>
        <w:rPr>
          <w:rFonts w:ascii="Arial" w:hAnsi="Arial"/>
          <w:b w:val="0"/>
          <w:i w:val="0"/>
          <w:sz w:val="22"/>
        </w:rPr>
        <w:t>Figura 7. Calibração — previsto versus observado, no nível individual e por decis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029200" cy="177182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calibraca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7718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 w:line="220" w:lineRule="exact"/>
        <w:jc w:val="left"/>
      </w:pPr>
      <w:r>
        <w:rPr>
          <w:rFonts w:ascii="Arial" w:hAnsi="Arial"/>
          <w:b w:val="0"/>
          <w:i w:val="0"/>
          <w:sz w:val="18"/>
        </w:rPr>
        <w:t>Fonte: Resultados originais da pesquisa.</w:t>
      </w:r>
    </w:p>
    <w:p>
      <w:pPr>
        <w:spacing w:before="200" w:after="80" w:line="330" w:lineRule="exact"/>
        <w:ind w:left="709"/>
        <w:jc w:val="left"/>
      </w:pPr>
      <w:r>
        <w:rPr>
          <w:rFonts w:ascii="Arial" w:hAnsi="Arial"/>
          <w:b/>
          <w:i w:val="0"/>
          <w:sz w:val="22"/>
        </w:rPr>
        <w:t>Simulação contrafactual da redução de atraso</w:t>
      </w:r>
    </w:p>
    <w:p>
      <w:pPr>
        <w:spacing w:before="0" w:after="120" w:line="330" w:lineRule="exact"/>
        <w:jc w:val="both"/>
      </w:pPr>
      <w:r>
        <w:rPr>
          <w:rFonts w:ascii="Arial" w:hAnsi="Arial"/>
          <w:b w:val="0"/>
          <w:i w:val="0"/>
          <w:sz w:val="22"/>
        </w:rPr>
        <w:t>Para traduzir o coeficiente do atraso em consequência operacional, foi conduzida uma simulação contrafactual. Considerando o conjunto de vendedores observados, a redução do atraso médio em 1, 2, 3, 5 e 7 dias foi aplicada de forma uniforme e comparada à predição base do modelo NB2 reduzido. Os resultados estão na Tabela 6 e na Figura 8. Uma redução de 3 dias no atraso médio levaria a uma queda estimada de 12,2% no total de reviews negativos previstos pelo modelo; uma redução de 7 dias, a uma queda de 26,3%. A simulação fornece uma referência quantitativa para priorização de iniciativas de melhoria logística, ressalvada a natureza associativa do modelo.</w:t>
      </w:r>
    </w:p>
    <w:p>
      <w:pPr>
        <w:spacing w:before="200" w:after="40" w:line="220" w:lineRule="exact"/>
        <w:jc w:val="left"/>
      </w:pPr>
      <w:r>
        <w:rPr>
          <w:rFonts w:ascii="Arial" w:hAnsi="Arial"/>
          <w:b w:val="0"/>
          <w:i w:val="0"/>
          <w:sz w:val="22"/>
        </w:rPr>
        <w:t>Tabela 6. Simulação contrafactual — efeito de reduções no atraso médio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sz w:val="20"/>
              </w:rPr>
              <w:t>Redução no atraso (dias)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sz w:val="20"/>
              </w:rPr>
              <w:t>Reviews negativos previstos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sz w:val="20"/>
              </w:rPr>
              <w:t>Redução estimada (%)</w:t>
            </w:r>
          </w:p>
        </w:tc>
      </w:tr>
      <w:tr>
        <w:tc>
          <w:tcPr>
            <w:tcW w:type="dxa" w:w="3135"/>
          </w:tcPr>
          <w:p>
            <w:r>
              <w:rPr>
                <w:rFonts w:ascii="Arial" w:hAnsi="Arial"/>
                <w:b w:val="0"/>
                <w:i w:val="0"/>
                <w:sz w:val="20"/>
              </w:rPr>
              <w:t>1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20"/>
              </w:rPr>
              <w:t>4,3%</w:t>
            </w:r>
          </w:p>
        </w:tc>
      </w:tr>
      <w:tr>
        <w:tc>
          <w:tcPr>
            <w:tcW w:type="dxa" w:w="3135"/>
          </w:tcPr>
          <w:p>
            <w:r>
              <w:rPr>
                <w:rFonts w:ascii="Arial" w:hAnsi="Arial"/>
                <w:b w:val="0"/>
                <w:i w:val="0"/>
                <w:sz w:val="20"/>
              </w:rPr>
              <w:t>2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20"/>
              </w:rPr>
              <w:t>8,3%</w:t>
            </w:r>
          </w:p>
        </w:tc>
      </w:tr>
      <w:tr>
        <w:tc>
          <w:tcPr>
            <w:tcW w:type="dxa" w:w="3135"/>
          </w:tcPr>
          <w:p>
            <w:r>
              <w:rPr>
                <w:rFonts w:ascii="Arial" w:hAnsi="Arial"/>
                <w:b w:val="0"/>
                <w:i w:val="0"/>
                <w:sz w:val="20"/>
              </w:rPr>
              <w:t>3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20"/>
              </w:rPr>
              <w:t>12,2%</w:t>
            </w:r>
          </w:p>
        </w:tc>
      </w:tr>
      <w:tr>
        <w:tc>
          <w:tcPr>
            <w:tcW w:type="dxa" w:w="3135"/>
          </w:tcPr>
          <w:p>
            <w:r>
              <w:rPr>
                <w:rFonts w:ascii="Arial" w:hAnsi="Arial"/>
                <w:b w:val="0"/>
                <w:i w:val="0"/>
                <w:sz w:val="20"/>
              </w:rPr>
              <w:t>5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20"/>
              </w:rPr>
              <w:t>19,6%</w:t>
            </w:r>
          </w:p>
        </w:tc>
      </w:tr>
      <w:tr>
        <w:tc>
          <w:tcPr>
            <w:tcW w:type="dxa" w:w="3135"/>
          </w:tcPr>
          <w:p>
            <w:r>
              <w:rPr>
                <w:rFonts w:ascii="Arial" w:hAnsi="Arial"/>
                <w:b w:val="0"/>
                <w:i w:val="0"/>
                <w:sz w:val="20"/>
              </w:rPr>
              <w:t>7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20"/>
              </w:rPr>
              <w:t>26,3%</w:t>
            </w:r>
          </w:p>
        </w:tc>
      </w:tr>
    </w:tbl>
    <w:p>
      <w:pPr>
        <w:spacing w:before="40" w:after="40" w:line="220" w:lineRule="exact"/>
        <w:jc w:val="left"/>
      </w:pPr>
      <w:r>
        <w:rPr>
          <w:rFonts w:ascii="Arial" w:hAnsi="Arial"/>
          <w:b w:val="0"/>
          <w:i w:val="0"/>
          <w:sz w:val="18"/>
        </w:rPr>
        <w:t>Fonte: Resultados originais da pesquisa.</w:t>
      </w:r>
    </w:p>
    <w:p>
      <w:pPr>
        <w:spacing w:before="0" w:after="160" w:line="220" w:lineRule="exact"/>
        <w:jc w:val="left"/>
      </w:pPr>
      <w:r>
        <w:rPr>
          <w:rFonts w:ascii="Arial" w:hAnsi="Arial"/>
          <w:b w:val="0"/>
          <w:i w:val="0"/>
          <w:sz w:val="18"/>
        </w:rPr>
        <w:t>Nota: Predições agregadas a partir do modelo NB2 reduzido. O cenário base corresponde aos valores observados de atraso. Reduções aplicadas de forma uniforme a todos os vendedores.</w:t>
      </w:r>
    </w:p>
    <w:p>
      <w:pPr>
        <w:spacing w:before="200" w:after="40" w:line="220" w:lineRule="exact"/>
        <w:jc w:val="left"/>
      </w:pPr>
      <w:r>
        <w:rPr>
          <w:rFonts w:ascii="Arial" w:hAnsi="Arial"/>
          <w:b w:val="0"/>
          <w:i w:val="0"/>
          <w:sz w:val="22"/>
        </w:rPr>
        <w:t>Figura 8. Redução prevista de reviews negativos por cenário de melhoria no atraso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029200" cy="277570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contrafactual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7757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 w:line="220" w:lineRule="exact"/>
        <w:jc w:val="left"/>
      </w:pPr>
      <w:r>
        <w:rPr>
          <w:rFonts w:ascii="Arial" w:hAnsi="Arial"/>
          <w:b w:val="0"/>
          <w:i w:val="0"/>
          <w:sz w:val="18"/>
        </w:rPr>
        <w:t>Fonte: Resultados originais da pesquisa.</w:t>
      </w:r>
    </w:p>
    <w:p>
      <w:pPr>
        <w:spacing w:before="240" w:after="120" w:line="330" w:lineRule="exact"/>
        <w:jc w:val="left"/>
      </w:pPr>
      <w:r>
        <w:rPr>
          <w:rFonts w:ascii="Arial" w:hAnsi="Arial"/>
          <w:b/>
          <w:i w:val="0"/>
          <w:sz w:val="22"/>
        </w:rPr>
        <w:t>Referências</w:t>
      </w:r>
    </w:p>
    <w:p>
      <w:pPr>
        <w:spacing w:before="0" w:after="40" w:line="220" w:lineRule="exact"/>
        <w:jc w:val="both"/>
      </w:pPr>
      <w:r>
        <w:rPr>
          <w:rFonts w:ascii="Arial" w:hAnsi="Arial"/>
          <w:b w:val="0"/>
          <w:i w:val="0"/>
          <w:sz w:val="22"/>
        </w:rPr>
        <w:t>Anderson, E.W. 1998. Customer satisfaction and word of mouth. Journal of Service Research 1(1): 5-17.</w:t>
      </w:r>
    </w:p>
    <w:p>
      <w:pPr>
        <w:spacing w:before="0" w:after="40" w:line="220" w:lineRule="exact"/>
        <w:jc w:val="both"/>
      </w:pPr>
      <w:r>
        <w:rPr>
          <w:rFonts w:ascii="Arial" w:hAnsi="Arial"/>
          <w:b w:val="0"/>
          <w:i w:val="0"/>
          <w:sz w:val="22"/>
        </w:rPr>
        <w:t>Cameron, A.C.; Trivedi, P.K. 1990. Regression-based tests for overdispersion in the Poisson model. Journal of Econometrics 46(3): 347-364.</w:t>
      </w:r>
    </w:p>
    <w:p>
      <w:pPr>
        <w:spacing w:before="0" w:after="40" w:line="220" w:lineRule="exact"/>
        <w:jc w:val="both"/>
      </w:pPr>
      <w:r>
        <w:rPr>
          <w:rFonts w:ascii="Arial" w:hAnsi="Arial"/>
          <w:b w:val="0"/>
          <w:i w:val="0"/>
          <w:sz w:val="22"/>
        </w:rPr>
        <w:t>Cameron, A.C.; Trivedi, P.K. 2013. Regression Analysis of Count Data. 2ed. Cambridge University Press, Cambridge, Reino Unido.</w:t>
      </w:r>
    </w:p>
    <w:p>
      <w:pPr>
        <w:spacing w:before="0" w:after="40" w:line="220" w:lineRule="exact"/>
        <w:jc w:val="both"/>
      </w:pPr>
      <w:r>
        <w:rPr>
          <w:rFonts w:ascii="Arial" w:hAnsi="Arial"/>
          <w:b w:val="0"/>
          <w:i w:val="0"/>
          <w:sz w:val="22"/>
        </w:rPr>
        <w:t>Chevalier, J.A.; Mayzlin, D. 2006. The effect of word of mouth on sales: online book reviews. Journal of Marketing Research 43(3): 345-354.</w:t>
      </w:r>
    </w:p>
    <w:p>
      <w:pPr>
        <w:spacing w:before="0" w:after="40" w:line="220" w:lineRule="exact"/>
        <w:jc w:val="both"/>
      </w:pPr>
      <w:r>
        <w:rPr>
          <w:rFonts w:ascii="Arial" w:hAnsi="Arial"/>
          <w:b w:val="0"/>
          <w:i w:val="0"/>
          <w:sz w:val="22"/>
        </w:rPr>
        <w:t>Fávero, L.P.; Belfiore, P. 2024. Manual de Análise de Dados: Estatística e Machine Learning com Excel, SPSS, Stata, R e Python. 2ed. LTC, Rio de Janeiro, RJ, Brasil.</w:t>
      </w:r>
    </w:p>
    <w:p>
      <w:pPr>
        <w:spacing w:before="0" w:after="40" w:line="220" w:lineRule="exact"/>
        <w:jc w:val="both"/>
      </w:pPr>
      <w:r>
        <w:rPr>
          <w:rFonts w:ascii="Arial" w:hAnsi="Arial"/>
          <w:b w:val="0"/>
          <w:i w:val="0"/>
          <w:sz w:val="22"/>
        </w:rPr>
        <w:t>Fávero, L.P.; Duarte, A.; Santos, H.P. 2024. A new computational algorithm for assessing overdispersion and zero-inflation in machine learning count models with Python. Computers 13(4): 88.</w:t>
      </w:r>
    </w:p>
    <w:p>
      <w:pPr>
        <w:spacing w:before="0" w:after="40" w:line="220" w:lineRule="exact"/>
        <w:jc w:val="both"/>
      </w:pPr>
      <w:r>
        <w:rPr>
          <w:rFonts w:ascii="Arial" w:hAnsi="Arial"/>
          <w:b w:val="0"/>
          <w:i w:val="0"/>
          <w:sz w:val="22"/>
        </w:rPr>
        <w:t>Hilbe, J.M. 2011. Negative Binomial Regression. 2ed. Cambridge University Press, Cambridge, Reino Unido.</w:t>
      </w:r>
    </w:p>
    <w:p>
      <w:pPr>
        <w:spacing w:before="0" w:after="40" w:line="220" w:lineRule="exact"/>
        <w:jc w:val="both"/>
      </w:pPr>
      <w:r>
        <w:rPr>
          <w:rFonts w:ascii="Arial" w:hAnsi="Arial"/>
          <w:b w:val="0"/>
          <w:i w:val="0"/>
          <w:sz w:val="22"/>
        </w:rPr>
        <w:t>Kotler, P.; Keller, K.L. 2018. Administração de Marketing. 15ed. Pearson Education do Brasil, São Paulo, SP, Brasil.</w:t>
      </w:r>
    </w:p>
    <w:p>
      <w:pPr>
        <w:spacing w:before="0" w:after="40" w:line="220" w:lineRule="exact"/>
        <w:jc w:val="both"/>
      </w:pPr>
      <w:r>
        <w:rPr>
          <w:rFonts w:ascii="Arial" w:hAnsi="Arial"/>
          <w:b w:val="0"/>
          <w:i w:val="0"/>
          <w:sz w:val="22"/>
        </w:rPr>
        <w:t>Lambert, D. 1992. Zero-inflated Poisson regression, with an application to defects in manufacturing. Technometrics 34(1): 1-14.</w:t>
      </w:r>
    </w:p>
    <w:p>
      <w:pPr>
        <w:spacing w:before="0" w:after="40" w:line="220" w:lineRule="exact"/>
        <w:jc w:val="both"/>
      </w:pPr>
      <w:r>
        <w:rPr>
          <w:rFonts w:ascii="Arial" w:hAnsi="Arial"/>
          <w:b w:val="0"/>
          <w:i w:val="0"/>
          <w:sz w:val="22"/>
        </w:rPr>
        <w:t>Luo, X.; Homburg, C. 2007. Neglected outcomes of customer satisfaction. Journal of Marketing 71(2): 133-149.</w:t>
      </w:r>
    </w:p>
    <w:p>
      <w:pPr>
        <w:spacing w:before="0" w:after="40" w:line="220" w:lineRule="exact"/>
        <w:jc w:val="both"/>
      </w:pPr>
      <w:r>
        <w:rPr>
          <w:rFonts w:ascii="Arial" w:hAnsi="Arial"/>
          <w:b w:val="0"/>
          <w:i w:val="0"/>
          <w:sz w:val="22"/>
        </w:rPr>
        <w:t>Mudambi, S.M.; Schuff, D. 2010. What makes a helpful online review? A study of customer reviews on Amazon.com. MIS Quarterly 34(1): 185-200.</w:t>
      </w:r>
    </w:p>
    <w:p>
      <w:pPr>
        <w:spacing w:before="0" w:after="40" w:line="220" w:lineRule="exact"/>
        <w:jc w:val="both"/>
      </w:pPr>
      <w:r>
        <w:rPr>
          <w:rFonts w:ascii="Arial" w:hAnsi="Arial"/>
          <w:b w:val="0"/>
          <w:i w:val="0"/>
          <w:sz w:val="22"/>
        </w:rPr>
        <w:t>Olist. 2018. Brazilian E-Commerce Public Dataset by Olist. Disponível em: &lt;https://www.kaggle.com/datasets/olistbr/brazilian-ecommerce&gt;. Acesso em: 20 mar. 2026.</w:t>
      </w:r>
    </w:p>
    <w:p>
      <w:pPr>
        <w:spacing w:before="0" w:after="40" w:line="220" w:lineRule="exact"/>
        <w:jc w:val="both"/>
      </w:pPr>
      <w:r>
        <w:rPr>
          <w:rFonts w:ascii="Arial" w:hAnsi="Arial"/>
          <w:b w:val="0"/>
          <w:i w:val="0"/>
          <w:sz w:val="22"/>
        </w:rPr>
        <w:t>Parasuraman, A.; Zeithaml, V.A.; Berry, L.L. 1985. A conceptual model of service quality and its implications for future research. Journal of Marketing 49(4): 41-50.</w:t>
      </w:r>
    </w:p>
    <w:p>
      <w:pPr>
        <w:spacing w:before="0" w:after="40" w:line="220" w:lineRule="exact"/>
        <w:jc w:val="both"/>
      </w:pPr>
      <w:r>
        <w:rPr>
          <w:rFonts w:ascii="Arial" w:hAnsi="Arial"/>
          <w:b w:val="0"/>
          <w:i w:val="0"/>
          <w:sz w:val="22"/>
        </w:rPr>
        <w:t>Vuong, Q.H. 1989. Likelihood ratio tests for model selection and non-nested hypotheses. Econometrica 57(2): 307-333.</w:t>
      </w:r>
    </w:p>
    <w:p>
      <w:pPr>
        <w:spacing w:before="0" w:after="40" w:line="220" w:lineRule="exact"/>
        <w:jc w:val="both"/>
      </w:pPr>
      <w:r>
        <w:rPr>
          <w:rFonts w:ascii="Arial" w:hAnsi="Arial"/>
          <w:b w:val="0"/>
          <w:i w:val="0"/>
          <w:sz w:val="22"/>
        </w:rPr>
        <w:t>Zhu, F.; Zhang, X. 2010. Impact of online consumer reviews on sales: the moderating role of product and consumer characteristics. Journal of Marketing 74(2): 133-148.</w:t>
      </w: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Fatores determinantes da insatisfação do consumidor no e-commerce</dc:title>
  <dc:subject/>
  <dc:creator>Maycon Henrique Aranha Da Silva</dc:creator>
  <cp:keywords/>
  <dc:description/>
  <cp:lastModifiedBy>Maycon Henrique Aranha Da Silva</cp:lastModifiedBy>
  <cp:revision>1</cp:revision>
  <dcterms:created xsi:type="dcterms:W3CDTF">2013-12-23T23:15:00Z</dcterms:created>
  <dcterms:modified xsi:type="dcterms:W3CDTF">2013-12-23T23:15:00Z</dcterms:modified>
  <cp:category/>
</cp:coreProperties>
</file>