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Arial" w:hAnsi="Arial"/>
          <w:b/>
          <w:sz w:val="22"/>
        </w:rPr>
        <w:t xml:space="preserve">Aluno: </w:t>
      </w:r>
      <w:r>
        <w:rPr>
          <w:rFonts w:ascii="Arial" w:hAnsi="Arial"/>
          <w:sz w:val="22"/>
        </w:rPr>
        <w:t>Maycon Henrique Aranha Da Silva</w:t>
      </w:r>
    </w:p>
    <w:p>
      <w:pPr>
        <w:spacing w:line="360" w:lineRule="auto"/>
      </w:pPr>
      <w:r>
        <w:rPr>
          <w:rFonts w:ascii="Arial" w:hAnsi="Arial"/>
          <w:b/>
          <w:sz w:val="22"/>
        </w:rPr>
        <w:t xml:space="preserve">Orientador(a): </w:t>
      </w:r>
      <w:r>
        <w:rPr>
          <w:rFonts w:ascii="Arial" w:hAnsi="Arial"/>
          <w:sz w:val="22"/>
        </w:rPr>
        <w:t>[a definir]</w:t>
      </w:r>
    </w:p>
    <w:p>
      <w:pPr>
        <w:spacing w:line="360" w:lineRule="auto" w:after="360"/>
      </w:pPr>
      <w:r>
        <w:rPr>
          <w:rFonts w:ascii="Arial" w:hAnsi="Arial"/>
          <w:b/>
          <w:sz w:val="22"/>
        </w:rPr>
        <w:t xml:space="preserve">Curso: </w:t>
      </w:r>
      <w:r>
        <w:rPr>
          <w:rFonts w:ascii="Arial" w:hAnsi="Arial"/>
          <w:sz w:val="22"/>
        </w:rPr>
        <w:t>MBA em Data Science e Analytics</w:t>
      </w:r>
    </w:p>
    <w:p>
      <w:pPr>
        <w:spacing w:line="360" w:lineRule="auto" w:after="360" w:before="120"/>
        <w:jc w:val="center"/>
      </w:pPr>
      <w:r>
        <w:rPr>
          <w:rFonts w:ascii="Arial" w:hAnsi="Arial"/>
          <w:b/>
          <w:sz w:val="22"/>
        </w:rPr>
        <w:t>Determinantes da insatisfação do consumidor no e-commerce brasileiro</w:t>
      </w:r>
    </w:p>
    <w:p>
      <w:pPr>
        <w:spacing w:line="360" w:lineRule="auto" w:after="120" w:before="120"/>
      </w:pPr>
      <w:r>
        <w:rPr>
          <w:rFonts w:ascii="Arial" w:hAnsi="Arial"/>
          <w:b/>
          <w:sz w:val="22"/>
        </w:rPr>
        <w:t>Introdução</w:t>
      </w:r>
    </w:p>
    <w:p>
      <w:pPr>
        <w:spacing w:line="360" w:lineRule="auto" w:after="120"/>
        <w:jc w:val="both"/>
      </w:pPr>
      <w:r>
        <w:rPr>
          <w:rFonts w:ascii="Arial" w:hAnsi="Arial"/>
          <w:sz w:val="22"/>
        </w:rPr>
        <w:t>O comércio eletrônico brasileiro vem crescendo de forma consistente nos últimos anos. Com esse crescimento, multiplicam-se também as situações em que o consumidor tem uma experiência aquém do esperado — atrasos na entrega, produtos que chegam danificados, divergência entre o que foi anunciado e o que foi recebido. Essas experiências resultam, na maioria das vezes, em avaliações negativas nos marketplaces, o que prejudica tanto o vendedor quanto a plataforma como um todo.</w:t>
      </w:r>
    </w:p>
    <w:p>
      <w:pPr>
        <w:spacing w:line="360" w:lineRule="auto" w:after="120"/>
        <w:jc w:val="both"/>
      </w:pPr>
      <w:r>
        <w:rPr>
          <w:rFonts w:ascii="Arial" w:hAnsi="Arial"/>
          <w:sz w:val="22"/>
        </w:rPr>
        <w:t>Do ponto de vista teórico, a satisfação do consumidor pode ser entendida como o resultado da comparação entre a expectativa prévia e o desempenho percebido do serviço. Parasuraman et al. (1985) propuseram que lacunas entre esses dois elementos são a principal causa de percepção de baixa qualidade. No comércio eletrônico, essas lacunas se manifestam em etapas específicas da jornada de compra — especialmente na logística de entrega, que frequentemente foge ao controle direto do vendedor. Kotler e Keller (2018) reforçam que a gestão da experiência do cliente é um dos pilares para a sustentabilidade de qualquer operação de varejo, e isso vale tanto para o varejo físico quanto para o digital.</w:t>
      </w:r>
    </w:p>
    <w:p>
      <w:pPr>
        <w:spacing w:line="360" w:lineRule="auto" w:after="120"/>
        <w:jc w:val="both"/>
      </w:pPr>
      <w:r>
        <w:rPr>
          <w:rFonts w:ascii="Arial" w:hAnsi="Arial"/>
          <w:sz w:val="22"/>
        </w:rPr>
        <w:t>Chevalier e Mayzlin (2006) demonstraram que avaliações online exercem impacto direto sobre as vendas, o que reforça a importância de se compreender quais fatores levam o consumidor a atribuir notas baixas. No entanto, a maioria das pesquisas sobre insatisfação em e-commerce trata o problema de forma binária: o consumidor está ou não está satisfeito. Essa simplificação ignora a intensidade do fenômeno. Um vendedor com 3 avaliações negativas em 50 transações enfrenta uma realidade completamente diferente daquele que acumula 25 avaliações negativas em 100 transações, embora ambos possam ser classificados como "insatisfatórios" em uma análise binária. A contagem de reviews negativos é uma variável discreta e não-negativa, e exige tratamento estatístico adequado.</w:t>
      </w:r>
    </w:p>
    <w:p>
      <w:pPr>
        <w:spacing w:line="360" w:lineRule="auto" w:after="120"/>
        <w:jc w:val="both"/>
      </w:pPr>
      <w:r>
        <w:rPr>
          <w:rFonts w:ascii="Arial" w:hAnsi="Arial"/>
          <w:sz w:val="22"/>
        </w:rPr>
        <w:t>Para variáveis com essa natureza, os modelos de regressão para dados de contagem são o ferramental apropriado. O modelo de Poisson é o ponto de partida, mas assume que a variância condicional é igual à média — pressuposto frequentemente violado em dados reais, configurando o que se conhece como sobredispersão. Quando isso acontece, a regressão Binomial Negativa se torna a alternativa natural, pois acomoda essa variabilidade adicional por meio de um parâmetro extra (Cameron e Trivedi, 2013; Hilbe, 2011). Fávero e Belfiore (2017) detalham a aplicação prática desses modelos em contextos econômicos e de negócios, incluindo os testes diagnósticos necessários para a seleção entre Poisson e Binomial Negativa.</w:t>
      </w:r>
    </w:p>
    <w:p>
      <w:pPr>
        <w:spacing w:line="360" w:lineRule="auto" w:after="120"/>
        <w:jc w:val="both"/>
      </w:pPr>
      <w:r>
        <w:rPr>
          <w:rFonts w:ascii="Arial" w:hAnsi="Arial"/>
          <w:sz w:val="22"/>
        </w:rPr>
        <w:t>Este trabalho propõe investigar os determinantes da insatisfação do consumidor no e-commerce brasileiro. A variável de interesse será a contagem de reviews negativos (notas 1 e 2) por vendedor, e os dados utilizados serão provenientes da base pública da Olist (Olist, 2018), que contém aproximadamente 100 mil transações realizadas entre 2016 e 2018 em marketplaces brasileiros. O foco da análise recairá sobre fatores operacionais do vendedor — como atraso na entrega, valor do frete e categoria de produto — e seu papel como determinantes da taxa de insatisfação.</w:t>
      </w:r>
    </w:p>
    <w:p>
      <w:pPr>
        <w:spacing w:line="360" w:lineRule="auto" w:after="120" w:before="120"/>
      </w:pPr>
      <w:r>
        <w:rPr>
          <w:rFonts w:ascii="Arial" w:hAnsi="Arial"/>
          <w:b/>
          <w:sz w:val="22"/>
        </w:rPr>
        <w:t>Objetivo</w:t>
      </w:r>
    </w:p>
    <w:p>
      <w:pPr>
        <w:spacing w:line="360" w:lineRule="auto" w:after="120"/>
        <w:jc w:val="both"/>
      </w:pPr>
      <w:r>
        <w:rPr>
          <w:rFonts w:ascii="Arial" w:hAnsi="Arial"/>
          <w:sz w:val="22"/>
        </w:rPr>
        <w:t>Identificar os determinantes da insatisfação do consumidor no e-commerce brasileiro, operacionalizada como a contagem de reviews negativos (notas 1 e 2) por vendedor, por meio da aplicação de modelos de regressão para dados de contagem — Poisson e Binomial Negativa — a dados transacionais públicos da plataforma Olist.</w:t>
      </w:r>
    </w:p>
    <w:p>
      <w:pPr>
        <w:spacing w:line="360" w:lineRule="auto" w:after="120" w:before="120"/>
      </w:pPr>
      <w:r>
        <w:rPr>
          <w:rFonts w:ascii="Arial" w:hAnsi="Arial"/>
          <w:b/>
          <w:sz w:val="22"/>
        </w:rPr>
        <w:t>Metodologia</w:t>
      </w:r>
    </w:p>
    <w:p>
      <w:pPr>
        <w:spacing w:line="360" w:lineRule="auto" w:after="120"/>
        <w:jc w:val="both"/>
      </w:pPr>
      <w:r>
        <w:rPr>
          <w:rFonts w:ascii="Arial" w:hAnsi="Arial"/>
          <w:sz w:val="22"/>
        </w:rPr>
        <w:t>A pesquisa possui caráter quantitativo e descritivo, apoiada em dados secundários de acesso público. A base de dados utilizada será o Brazilian E-Commerce Public Dataset, disponibilizado pela empresa Olist na plataforma Kaggle (Olist, 2018). O dataset contém registros de aproximadamente 100 mil pedidos realizados em marketplaces brasileiros entre 2016 e 2018, distribuídos em sete tabelas relacionais: pedidos, itens de pedido, pagamentos, avaliações, produtos, vendedores e tradução de categorias de produto.</w:t>
      </w:r>
    </w:p>
    <w:p>
      <w:pPr>
        <w:spacing w:line="360" w:lineRule="auto" w:after="120"/>
        <w:jc w:val="both"/>
      </w:pPr>
      <w:r>
        <w:rPr>
          <w:rFonts w:ascii="Arial" w:hAnsi="Arial"/>
          <w:sz w:val="22"/>
        </w:rPr>
        <w:t>A unidade de análise será o vendedor. Os dados das sete tabelas serão cruzados e agregados por identificador do vendedor, gerando uma base cross-section. As variáveis do modelo serão organizadas da seguinte forma:</w:t>
      </w:r>
    </w:p>
    <w:p>
      <w:pPr>
        <w:pStyle w:val="ListBullet"/>
        <w:spacing w:line="360" w:lineRule="auto" w:after="60"/>
        <w:jc w:val="both"/>
      </w:pPr>
      <w:r>
        <w:rPr>
          <w:rFonts w:ascii="Arial" w:hAnsi="Arial"/>
          <w:b/>
          <w:sz w:val="22"/>
        </w:rPr>
        <w:t xml:space="preserve">Variável dependente (Y): </w:t>
      </w:r>
      <w:r>
        <w:rPr>
          <w:rFonts w:ascii="Arial" w:hAnsi="Arial"/>
          <w:sz w:val="22"/>
        </w:rPr>
        <w:t>contagem de reviews negativos (score 1 ou 2) por vendedor.</w:t>
      </w:r>
    </w:p>
    <w:p>
      <w:pPr>
        <w:pStyle w:val="ListBullet"/>
        <w:spacing w:line="360" w:lineRule="auto" w:after="60"/>
        <w:jc w:val="both"/>
      </w:pPr>
      <w:r>
        <w:rPr>
          <w:rFonts w:ascii="Arial" w:hAnsi="Arial"/>
          <w:b/>
          <w:sz w:val="22"/>
        </w:rPr>
        <w:t xml:space="preserve">Offset: </w:t>
      </w:r>
      <w:r>
        <w:rPr>
          <w:rFonts w:ascii="Arial" w:hAnsi="Arial"/>
          <w:sz w:val="22"/>
        </w:rPr>
        <w:t>logaritmo natural do total de reviews recebidos pelo vendedor. Com o offset, o modelo estimará a taxa de insatisfação, e não a contagem absoluta, controlando pelo volume de vendas de cada vendedor.</w:t>
      </w:r>
    </w:p>
    <w:p>
      <w:pPr>
        <w:pStyle w:val="ListBullet"/>
        <w:spacing w:line="360" w:lineRule="auto" w:after="60"/>
        <w:jc w:val="both"/>
      </w:pPr>
      <w:r>
        <w:rPr>
          <w:rFonts w:ascii="Arial" w:hAnsi="Arial"/>
          <w:b/>
          <w:sz w:val="22"/>
        </w:rPr>
        <w:t xml:space="preserve">Variáveis independentes: </w:t>
      </w:r>
      <w:r>
        <w:rPr>
          <w:rFonts w:ascii="Arial" w:hAnsi="Arial"/>
          <w:sz w:val="22"/>
        </w:rPr>
        <w:t>atraso médio na entrega (em dias), ticket médio (R$), frete médio (R$), peso médio do produto (g), categoria principal do vendedor e unidade federativa do vendedor.</w:t>
      </w:r>
    </w:p>
    <w:p>
      <w:pPr>
        <w:spacing w:line="360" w:lineRule="auto" w:after="120"/>
        <w:jc w:val="both"/>
      </w:pPr>
      <w:r>
        <w:rPr>
          <w:rFonts w:ascii="Arial" w:hAnsi="Arial"/>
          <w:sz w:val="22"/>
        </w:rPr>
      </w:r>
    </w:p>
    <w:p>
      <w:pPr>
        <w:spacing w:line="360" w:lineRule="auto" w:after="120"/>
        <w:jc w:val="both"/>
      </w:pPr>
      <w:r>
        <w:rPr>
          <w:rFonts w:ascii="Arial" w:hAnsi="Arial"/>
          <w:sz w:val="22"/>
        </w:rPr>
        <w:t>Serão incluídos na amostra apenas vendedores com no mínimo 5 reviews, de modo a garantir representatividade estatística na estimativa da taxa de insatisfação. As variáveis categóricas (categoria de produto e estado) serão transformadas em variáveis dummy, agrupando-se categorias com menos de 30 observações em um grupo residual denominado "other".</w:t>
      </w:r>
    </w:p>
    <w:p>
      <w:pPr>
        <w:spacing w:line="360" w:lineRule="auto" w:after="120"/>
        <w:jc w:val="both"/>
      </w:pPr>
      <w:r>
        <w:rPr>
          <w:rFonts w:ascii="Arial" w:hAnsi="Arial"/>
          <w:sz w:val="22"/>
        </w:rPr>
        <w:t>A modelagem seguirá o procedimento descrito por Cameron e Trivedi (2013) e Fávero e Belfiore (2017). Primeiro, será estimado um modelo de regressão Poisson como baseline, utilizando o método de mínimos quadrados iterativamente reponderados (IRLS). Em seguida, será aplicado o teste de sobredispersão de Cameron e Trivedi para verificar se a variância condicional excede a média condicional. Caso a sobredispersão seja confirmada, será estimado um modelo de regressão Binomial Negativa (NB2), com o parâmetro de dispersão (alfa) estimado pelo método dos momentos. A comparação formal entre os dois modelos será feita pelo teste de razão de verossimilhança.</w:t>
      </w:r>
    </w:p>
    <w:p>
      <w:pPr>
        <w:spacing w:line="360" w:lineRule="auto" w:after="120"/>
        <w:jc w:val="both"/>
      </w:pPr>
      <w:r>
        <w:rPr>
          <w:rFonts w:ascii="Arial" w:hAnsi="Arial"/>
          <w:sz w:val="22"/>
        </w:rPr>
        <w:t>A seleção do modelo final considerará os critérios de informação de Akaike (AIC) e bayesiano (BIC), além da estatística qui-quadrado de Pearson padronizada pelos graus de liberdade — valores próximos a 1 indicam bom ajuste (Hilbe, 2011). Variáveis com p-valor superior a 0,05 serão removidas do modelo completo para obtenção de um modelo reduzido mais parcimonioso.</w:t>
      </w:r>
    </w:p>
    <w:p>
      <w:pPr>
        <w:spacing w:line="360" w:lineRule="auto" w:after="120"/>
        <w:jc w:val="both"/>
      </w:pPr>
      <w:r>
        <w:rPr>
          <w:rFonts w:ascii="Arial" w:hAnsi="Arial"/>
          <w:sz w:val="22"/>
        </w:rPr>
        <w:t>A interpretação dos coeficientes será feita por meio de exp(β), que representa o fator multiplicativo sobre a taxa esperada de reviews negativos para cada incremento unitário na variável independente. As análises serão conduzidas em Python, com uso das bibliotecas pandas para manipulação de dados, statsmodels para estimação dos modelos lineares generalizados e scipy para testes estatísticos.</w:t>
      </w:r>
    </w:p>
    <w:p>
      <w:pPr>
        <w:spacing w:line="360" w:lineRule="auto" w:after="120" w:before="120"/>
      </w:pPr>
      <w:r>
        <w:rPr>
          <w:rFonts w:ascii="Arial" w:hAnsi="Arial"/>
          <w:b/>
          <w:sz w:val="22"/>
        </w:rPr>
        <w:t>Resultados Esperados</w:t>
      </w:r>
    </w:p>
    <w:p>
      <w:pPr>
        <w:spacing w:line="360" w:lineRule="auto" w:after="120"/>
        <w:jc w:val="both"/>
      </w:pPr>
      <w:r>
        <w:rPr>
          <w:rFonts w:ascii="Arial" w:hAnsi="Arial"/>
          <w:sz w:val="22"/>
        </w:rPr>
        <w:t>Espera-se que o modelo Binomial Negativa apresente ajuste superior ao modelo de Poisson, dado o comportamento típico de sobredispersão em variáveis de contagem provenientes de dados transacionais. A partir da estimação e interpretação dos coeficientes, pretende-se identificar quais fatores operacionais — como atraso na entrega, valor do frete e categoria de produto — estão estatisticamente associados a uma maior taxa de insatisfação do consumidor.</w:t>
      </w:r>
    </w:p>
    <w:p>
      <w:pPr>
        <w:spacing w:line="360" w:lineRule="auto" w:after="120"/>
        <w:jc w:val="both"/>
      </w:pPr>
      <w:r>
        <w:rPr>
          <w:rFonts w:ascii="Arial" w:hAnsi="Arial"/>
          <w:sz w:val="22"/>
        </w:rPr>
        <w:t>Do ponto de vista prático, os resultados poderão indicar alavancas de atuação para vendedores e plataformas de e-commerce que busquem reduzir a incidência de avaliações negativas. Se, por exemplo, o atraso na entrega se confirmar como determinante relevante, isso reforçaria a necessidade de investimentos em logística e gestão de prazos como estratégia de melhoria da experiência do consumidor.</w:t>
      </w:r>
    </w:p>
    <w:p>
      <w:pPr>
        <w:spacing w:line="360" w:lineRule="auto" w:after="120" w:before="120"/>
      </w:pPr>
      <w:r>
        <w:rPr>
          <w:rFonts w:ascii="Arial" w:hAnsi="Arial"/>
          <w:b/>
          <w:sz w:val="22"/>
        </w:rPr>
        <w:t>Cronograma de Atividades</w:t>
      </w:r>
    </w:p>
    <w:tbl>
      <w:tblPr>
        <w:tblStyle w:val="TableGrid"/>
        <w:tblW w:type="auto" w:w="0"/>
        <w:jc w:val="center"/>
        <w:tblLook w:firstColumn="1" w:firstRow="1" w:lastColumn="0" w:lastRow="0" w:noHBand="0" w:noVBand="1" w:val="04A0"/>
      </w:tblPr>
      <w:tblGrid>
        <w:gridCol w:w="1343"/>
        <w:gridCol w:w="1343"/>
        <w:gridCol w:w="1343"/>
        <w:gridCol w:w="1343"/>
        <w:gridCol w:w="1343"/>
        <w:gridCol w:w="1343"/>
        <w:gridCol w:w="1343"/>
      </w:tblGrid>
      <w:tr>
        <w:tc>
          <w:tcPr>
            <w:tcW w:type="dxa" w:w="1343"/>
          </w:tcPr>
          <w:p>
            <w:r>
              <w:rPr>
                <w:rFonts w:ascii="Arial" w:hAnsi="Arial"/>
                <w:b/>
                <w:sz w:val="20"/>
              </w:rPr>
              <w:t>Atividade</w:t>
            </w:r>
          </w:p>
        </w:tc>
        <w:tc>
          <w:tcPr>
            <w:tcW w:type="dxa" w:w="1343"/>
          </w:tcPr>
          <w:p>
            <w:r>
              <w:rPr>
                <w:rFonts w:ascii="Arial" w:hAnsi="Arial"/>
                <w:b/>
                <w:sz w:val="20"/>
              </w:rPr>
              <w:t>Mar/26</w:t>
            </w:r>
          </w:p>
        </w:tc>
        <w:tc>
          <w:tcPr>
            <w:tcW w:type="dxa" w:w="1343"/>
          </w:tcPr>
          <w:p>
            <w:r>
              <w:rPr>
                <w:rFonts w:ascii="Arial" w:hAnsi="Arial"/>
                <w:b/>
                <w:sz w:val="20"/>
              </w:rPr>
              <w:t>Abr/26</w:t>
            </w:r>
          </w:p>
        </w:tc>
        <w:tc>
          <w:tcPr>
            <w:tcW w:type="dxa" w:w="1343"/>
          </w:tcPr>
          <w:p>
            <w:r>
              <w:rPr>
                <w:rFonts w:ascii="Arial" w:hAnsi="Arial"/>
                <w:b/>
                <w:sz w:val="20"/>
              </w:rPr>
              <w:t>Mai/26</w:t>
            </w:r>
          </w:p>
        </w:tc>
        <w:tc>
          <w:tcPr>
            <w:tcW w:type="dxa" w:w="1343"/>
          </w:tcPr>
          <w:p>
            <w:r>
              <w:rPr>
                <w:rFonts w:ascii="Arial" w:hAnsi="Arial"/>
                <w:b/>
                <w:sz w:val="20"/>
              </w:rPr>
              <w:t>Jun/26</w:t>
            </w:r>
          </w:p>
        </w:tc>
        <w:tc>
          <w:tcPr>
            <w:tcW w:type="dxa" w:w="1343"/>
          </w:tcPr>
          <w:p>
            <w:r>
              <w:rPr>
                <w:rFonts w:ascii="Arial" w:hAnsi="Arial"/>
                <w:b/>
                <w:sz w:val="20"/>
              </w:rPr>
              <w:t>Jul/26</w:t>
            </w:r>
          </w:p>
        </w:tc>
        <w:tc>
          <w:tcPr>
            <w:tcW w:type="dxa" w:w="1343"/>
          </w:tcPr>
          <w:p>
            <w:r>
              <w:rPr>
                <w:rFonts w:ascii="Arial" w:hAnsi="Arial"/>
                <w:b/>
                <w:sz w:val="20"/>
              </w:rPr>
              <w:t>Ago/26</w:t>
            </w:r>
          </w:p>
        </w:tc>
      </w:tr>
      <w:tr>
        <w:tc>
          <w:tcPr>
            <w:tcW w:type="dxa" w:w="1343"/>
          </w:tcPr>
          <w:p>
            <w:r>
              <w:rPr>
                <w:rFonts w:ascii="Arial" w:hAnsi="Arial"/>
                <w:sz w:val="20"/>
              </w:rPr>
              <w:t>Revisão bibliográfica</w:t>
            </w:r>
          </w:p>
        </w:tc>
        <w:tc>
          <w:tcPr>
            <w:tcW w:type="dxa" w:w="1343"/>
          </w:tcPr>
          <w:p>
            <w:pPr>
              <w:jc w:val="center"/>
            </w:pPr>
            <w:r>
              <w:rPr>
                <w:rFonts w:ascii="Arial" w:hAnsi="Arial"/>
                <w:sz w:val="20"/>
              </w:rPr>
              <w:t>X</w:t>
            </w:r>
          </w:p>
        </w:tc>
        <w:tc>
          <w:tcPr>
            <w:tcW w:type="dxa" w:w="1343"/>
          </w:tcPr>
          <w:p>
            <w:pPr>
              <w:jc w:val="center"/>
            </w:pPr>
            <w:r>
              <w:rPr>
                <w:rFonts w:ascii="Arial" w:hAnsi="Arial"/>
                <w:sz w:val="20"/>
              </w:rPr>
              <w:t>X</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r>
      <w:tr>
        <w:tc>
          <w:tcPr>
            <w:tcW w:type="dxa" w:w="1343"/>
          </w:tcPr>
          <w:p>
            <w:r>
              <w:rPr>
                <w:rFonts w:ascii="Arial" w:hAnsi="Arial"/>
                <w:sz w:val="20"/>
              </w:rPr>
              <w:t>Coleta e preparação dos dados</w:t>
            </w:r>
          </w:p>
        </w:tc>
        <w:tc>
          <w:tcPr>
            <w:tcW w:type="dxa" w:w="1343"/>
          </w:tcPr>
          <w:p>
            <w:pPr>
              <w:jc w:val="center"/>
            </w:pPr>
            <w:r>
              <w:rPr>
                <w:rFonts w:ascii="Arial" w:hAnsi="Arial"/>
                <w:sz w:val="20"/>
              </w:rPr>
              <w:t>X</w:t>
            </w:r>
          </w:p>
        </w:tc>
        <w:tc>
          <w:tcPr>
            <w:tcW w:type="dxa" w:w="1343"/>
          </w:tcPr>
          <w:p>
            <w:pPr>
              <w:jc w:val="center"/>
            </w:pPr>
            <w:r>
              <w:rPr>
                <w:rFonts w:ascii="Arial" w:hAnsi="Arial"/>
                <w:sz w:val="20"/>
              </w:rPr>
              <w:t>X</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r>
      <w:tr>
        <w:tc>
          <w:tcPr>
            <w:tcW w:type="dxa" w:w="1343"/>
          </w:tcPr>
          <w:p>
            <w:r>
              <w:rPr>
                <w:rFonts w:ascii="Arial" w:hAnsi="Arial"/>
                <w:sz w:val="20"/>
              </w:rPr>
              <w:t>Análise exploratória</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X</w:t>
            </w:r>
          </w:p>
        </w:tc>
        <w:tc>
          <w:tcPr>
            <w:tcW w:type="dxa" w:w="1343"/>
          </w:tcPr>
          <w:p>
            <w:pPr>
              <w:jc w:val="center"/>
            </w:pPr>
            <w:r>
              <w:rPr>
                <w:rFonts w:ascii="Arial" w:hAnsi="Arial"/>
                <w:sz w:val="20"/>
              </w:rPr>
              <w:t>X</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r>
      <w:tr>
        <w:tc>
          <w:tcPr>
            <w:tcW w:type="dxa" w:w="1343"/>
          </w:tcPr>
          <w:p>
            <w:r>
              <w:rPr>
                <w:rFonts w:ascii="Arial" w:hAnsi="Arial"/>
                <w:sz w:val="20"/>
              </w:rPr>
              <w:t>Modelagem estatística</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X</w:t>
            </w:r>
          </w:p>
        </w:tc>
        <w:tc>
          <w:tcPr>
            <w:tcW w:type="dxa" w:w="1343"/>
          </w:tcPr>
          <w:p>
            <w:pPr>
              <w:jc w:val="center"/>
            </w:pPr>
            <w:r>
              <w:rPr>
                <w:rFonts w:ascii="Arial" w:hAnsi="Arial"/>
                <w:sz w:val="20"/>
              </w:rPr>
              <w:t>X</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r>
      <w:tr>
        <w:tc>
          <w:tcPr>
            <w:tcW w:type="dxa" w:w="1343"/>
          </w:tcPr>
          <w:p>
            <w:r>
              <w:rPr>
                <w:rFonts w:ascii="Arial" w:hAnsi="Arial"/>
                <w:sz w:val="20"/>
              </w:rPr>
              <w:t>Entrega: Resultados Preliminares</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X</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r>
      <w:tr>
        <w:tc>
          <w:tcPr>
            <w:tcW w:type="dxa" w:w="1343"/>
          </w:tcPr>
          <w:p>
            <w:r>
              <w:rPr>
                <w:rFonts w:ascii="Arial" w:hAnsi="Arial"/>
                <w:sz w:val="20"/>
              </w:rPr>
              <w:t>Redação do TCC</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X</w:t>
            </w:r>
          </w:p>
        </w:tc>
        <w:tc>
          <w:tcPr>
            <w:tcW w:type="dxa" w:w="1343"/>
          </w:tcPr>
          <w:p>
            <w:pPr>
              <w:jc w:val="center"/>
            </w:pPr>
            <w:r>
              <w:rPr>
                <w:rFonts w:ascii="Arial" w:hAnsi="Arial"/>
                <w:sz w:val="20"/>
              </w:rPr>
              <w:t>X</w:t>
            </w:r>
          </w:p>
        </w:tc>
        <w:tc>
          <w:tcPr>
            <w:tcW w:type="dxa" w:w="1343"/>
          </w:tcPr>
          <w:p>
            <w:pPr>
              <w:jc w:val="center"/>
            </w:pPr>
            <w:r>
              <w:rPr>
                <w:rFonts w:ascii="Arial" w:hAnsi="Arial"/>
                <w:sz w:val="20"/>
              </w:rPr>
              <w:t xml:space="preserve"> </w:t>
            </w:r>
          </w:p>
        </w:tc>
      </w:tr>
      <w:tr>
        <w:tc>
          <w:tcPr>
            <w:tcW w:type="dxa" w:w="1343"/>
          </w:tcPr>
          <w:p>
            <w:r>
              <w:rPr>
                <w:rFonts w:ascii="Arial" w:hAnsi="Arial"/>
                <w:sz w:val="20"/>
              </w:rPr>
              <w:t>Revisão e entrega final do TCC</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 xml:space="preserve"> </w:t>
            </w:r>
          </w:p>
        </w:tc>
        <w:tc>
          <w:tcPr>
            <w:tcW w:type="dxa" w:w="1343"/>
          </w:tcPr>
          <w:p>
            <w:pPr>
              <w:jc w:val="center"/>
            </w:pPr>
            <w:r>
              <w:rPr>
                <w:rFonts w:ascii="Arial" w:hAnsi="Arial"/>
                <w:sz w:val="20"/>
              </w:rPr>
              <w:t>X</w:t>
            </w:r>
          </w:p>
        </w:tc>
        <w:tc>
          <w:tcPr>
            <w:tcW w:type="dxa" w:w="1343"/>
          </w:tcPr>
          <w:p>
            <w:pPr>
              <w:jc w:val="center"/>
            </w:pPr>
            <w:r>
              <w:rPr>
                <w:rFonts w:ascii="Arial" w:hAnsi="Arial"/>
                <w:sz w:val="20"/>
              </w:rPr>
              <w:t>X</w:t>
            </w:r>
          </w:p>
        </w:tc>
      </w:tr>
    </w:tbl>
    <w:p/>
    <w:p>
      <w:pPr>
        <w:spacing w:line="360" w:lineRule="auto" w:after="120" w:before="120"/>
      </w:pPr>
      <w:r>
        <w:rPr>
          <w:rFonts w:ascii="Arial" w:hAnsi="Arial"/>
          <w:b/>
          <w:sz w:val="22"/>
        </w:rPr>
        <w:t>Referências</w:t>
      </w:r>
    </w:p>
    <w:p>
      <w:pPr>
        <w:spacing w:line="240" w:lineRule="auto" w:after="120"/>
        <w:jc w:val="left"/>
      </w:pPr>
      <w:r>
        <w:rPr>
          <w:rFonts w:ascii="Arial" w:hAnsi="Arial"/>
          <w:sz w:val="22"/>
        </w:rPr>
        <w:t>Cameron, A.C.; Trivedi, P.K. 2013. Regression Analysis of Count Data. 2ed. Cambridge University Press, Cambridge, Reino Unido.</w:t>
      </w:r>
    </w:p>
    <w:p>
      <w:pPr>
        <w:spacing w:line="240" w:lineRule="auto" w:after="120"/>
        <w:jc w:val="left"/>
      </w:pPr>
      <w:r>
        <w:rPr>
          <w:rFonts w:ascii="Arial" w:hAnsi="Arial"/>
          <w:sz w:val="22"/>
        </w:rPr>
        <w:t>Chevalier, J.A.; Mayzlin, D. 2006. The effect of word of mouth on sales: online book reviews. Journal of Marketing Research 43(3): 345-354.</w:t>
      </w:r>
    </w:p>
    <w:p>
      <w:pPr>
        <w:spacing w:line="240" w:lineRule="auto" w:after="120"/>
        <w:jc w:val="left"/>
      </w:pPr>
      <w:r>
        <w:rPr>
          <w:rFonts w:ascii="Arial" w:hAnsi="Arial"/>
          <w:sz w:val="22"/>
        </w:rPr>
        <w:t>Fávero, L.P.; Belfiore, P. 2017. Manual de Análise de Dados: Estatística e modelagem multivariada com Excel, SPSS e Stata. Elsevier, Rio de Janeiro, RJ, Brasil.</w:t>
      </w:r>
    </w:p>
    <w:p>
      <w:pPr>
        <w:spacing w:line="240" w:lineRule="auto" w:after="120"/>
        <w:jc w:val="left"/>
      </w:pPr>
      <w:r>
        <w:rPr>
          <w:rFonts w:ascii="Arial" w:hAnsi="Arial"/>
          <w:sz w:val="22"/>
        </w:rPr>
        <w:t>Hilbe, J.M. 2011. Negative Binomial Regression. 2ed. Cambridge University Press, Cambridge, Reino Unido.</w:t>
      </w:r>
    </w:p>
    <w:p>
      <w:pPr>
        <w:spacing w:line="240" w:lineRule="auto" w:after="120"/>
        <w:jc w:val="left"/>
      </w:pPr>
      <w:r>
        <w:rPr>
          <w:rFonts w:ascii="Arial" w:hAnsi="Arial"/>
          <w:sz w:val="22"/>
        </w:rPr>
        <w:t>Kotler, P.; Keller, K.L. 2018. Administração de Marketing. 15ed. Pearson Education do Brasil, São Paulo, SP, Brasil.</w:t>
      </w:r>
    </w:p>
    <w:p>
      <w:pPr>
        <w:spacing w:line="240" w:lineRule="auto" w:after="120"/>
        <w:jc w:val="left"/>
      </w:pPr>
      <w:r>
        <w:rPr>
          <w:rFonts w:ascii="Arial" w:hAnsi="Arial"/>
          <w:sz w:val="22"/>
        </w:rPr>
        <w:t>Olist. 2018. Brazilian E-Commerce Public Dataset by Olist. Disponível em: &lt;https://www.kaggle.com/datasets/olistbr/brazilian-ecommerce&gt;. Acesso em: 20 mar. 2026.</w:t>
      </w:r>
    </w:p>
    <w:p>
      <w:pPr>
        <w:spacing w:line="240" w:lineRule="auto" w:after="120"/>
        <w:jc w:val="left"/>
      </w:pPr>
      <w:r>
        <w:rPr>
          <w:rFonts w:ascii="Arial" w:hAnsi="Arial"/>
          <w:sz w:val="22"/>
        </w:rPr>
        <w:t>Parasuraman, A.; Zeithaml, V.A.; Berry, L.L. 1985. A conceptual model of service quality and its implications for future research. Journal of Marketing 49(4): 41-50.</w:t>
      </w:r>
    </w:p>
    <w:sectPr w:rsidR="00FC693F" w:rsidRPr="0006063C" w:rsidSect="0003461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