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B8CA" w14:textId="407EDC6C" w:rsidR="00360E2B" w:rsidRPr="00360E2B" w:rsidRDefault="00360E2B" w:rsidP="00360E2B">
      <w:pPr>
        <w:spacing w:line="360" w:lineRule="auto"/>
        <w:rPr>
          <w:rFonts w:ascii="Arial" w:hAnsi="Arial" w:cs="Arial"/>
          <w:sz w:val="22"/>
          <w:szCs w:val="22"/>
        </w:rPr>
      </w:pPr>
      <w:r w:rsidRPr="00360E2B">
        <w:rPr>
          <w:rFonts w:ascii="Arial" w:hAnsi="Arial" w:cs="Arial"/>
          <w:b/>
          <w:sz w:val="22"/>
          <w:szCs w:val="22"/>
        </w:rPr>
        <w:t xml:space="preserve">Aluno: </w:t>
      </w:r>
      <w:r w:rsidRPr="00360E2B">
        <w:rPr>
          <w:rFonts w:ascii="Arial" w:hAnsi="Arial" w:cs="Arial"/>
          <w:sz w:val="22"/>
          <w:szCs w:val="22"/>
        </w:rPr>
        <w:t>Maycon Henrique Aranha Da Silva</w:t>
      </w:r>
    </w:p>
    <w:p w14:paraId="040BF73A" w14:textId="77777777" w:rsidR="00360E2B" w:rsidRPr="00360E2B" w:rsidRDefault="00360E2B" w:rsidP="00360E2B">
      <w:pPr>
        <w:spacing w:line="360" w:lineRule="auto"/>
        <w:rPr>
          <w:rFonts w:ascii="Arial" w:hAnsi="Arial" w:cs="Arial"/>
          <w:sz w:val="22"/>
          <w:szCs w:val="22"/>
        </w:rPr>
      </w:pPr>
      <w:r w:rsidRPr="00360E2B">
        <w:rPr>
          <w:rFonts w:ascii="Arial" w:hAnsi="Arial" w:cs="Arial"/>
          <w:b/>
          <w:sz w:val="22"/>
          <w:szCs w:val="22"/>
        </w:rPr>
        <w:t xml:space="preserve">Orientador(a): </w:t>
      </w:r>
      <w:r w:rsidRPr="00360E2B">
        <w:rPr>
          <w:rFonts w:ascii="Arial" w:hAnsi="Arial" w:cs="Arial"/>
          <w:bCs/>
          <w:sz w:val="22"/>
          <w:szCs w:val="22"/>
        </w:rPr>
        <w:t>Gustavo Dantas Lobo</w:t>
      </w:r>
    </w:p>
    <w:p w14:paraId="5A181761" w14:textId="77777777" w:rsidR="00360E2B" w:rsidRPr="00360E2B" w:rsidRDefault="00360E2B" w:rsidP="00360E2B">
      <w:pPr>
        <w:spacing w:after="360" w:line="360" w:lineRule="auto"/>
        <w:rPr>
          <w:rFonts w:ascii="Arial" w:hAnsi="Arial" w:cs="Arial"/>
          <w:sz w:val="22"/>
          <w:szCs w:val="22"/>
        </w:rPr>
      </w:pPr>
      <w:r w:rsidRPr="00360E2B">
        <w:rPr>
          <w:rFonts w:ascii="Arial" w:hAnsi="Arial" w:cs="Arial"/>
          <w:b/>
          <w:sz w:val="22"/>
          <w:szCs w:val="22"/>
        </w:rPr>
        <w:t xml:space="preserve">Curso: </w:t>
      </w:r>
      <w:r w:rsidRPr="00360E2B">
        <w:rPr>
          <w:rFonts w:ascii="Arial" w:hAnsi="Arial" w:cs="Arial"/>
          <w:sz w:val="22"/>
          <w:szCs w:val="22"/>
        </w:rPr>
        <w:t>MBA em Data Science e Analytics</w:t>
      </w:r>
    </w:p>
    <w:p w14:paraId="6945BDA0" w14:textId="77777777" w:rsidR="00360E2B" w:rsidRPr="00360E2B" w:rsidRDefault="00360E2B" w:rsidP="00360E2B">
      <w:pPr>
        <w:spacing w:before="120" w:after="360" w:line="360" w:lineRule="auto"/>
        <w:jc w:val="center"/>
        <w:rPr>
          <w:rFonts w:ascii="Arial" w:hAnsi="Arial" w:cs="Arial"/>
          <w:sz w:val="22"/>
          <w:szCs w:val="22"/>
        </w:rPr>
      </w:pPr>
      <w:r w:rsidRPr="00360E2B">
        <w:rPr>
          <w:rFonts w:ascii="Arial" w:hAnsi="Arial" w:cs="Arial"/>
          <w:b/>
          <w:sz w:val="22"/>
          <w:szCs w:val="22"/>
        </w:rPr>
        <w:t>Fatores determinantes da insatisfação do consumidor no e-commerce</w:t>
      </w:r>
    </w:p>
    <w:p w14:paraId="338897B7" w14:textId="77777777" w:rsidR="00360E2B" w:rsidRPr="00360E2B" w:rsidRDefault="00360E2B" w:rsidP="00360E2B">
      <w:pPr>
        <w:spacing w:before="120" w:after="120" w:line="360" w:lineRule="auto"/>
        <w:rPr>
          <w:rFonts w:ascii="Arial" w:hAnsi="Arial" w:cs="Arial"/>
          <w:sz w:val="22"/>
          <w:szCs w:val="22"/>
        </w:rPr>
      </w:pPr>
      <w:r w:rsidRPr="00360E2B">
        <w:rPr>
          <w:rFonts w:ascii="Arial" w:hAnsi="Arial" w:cs="Arial"/>
          <w:b/>
          <w:sz w:val="22"/>
          <w:szCs w:val="22"/>
        </w:rPr>
        <w:t>Introdução</w:t>
      </w:r>
    </w:p>
    <w:p w14:paraId="1A31133C" w14:textId="77777777" w:rsidR="00360E2B" w:rsidRPr="00360E2B" w:rsidRDefault="00360E2B" w:rsidP="00360E2B">
      <w:pPr>
        <w:pStyle w:val="ParagrafoTCC"/>
        <w:rPr>
          <w:rFonts w:cs="Arial"/>
        </w:rPr>
      </w:pPr>
      <w:r w:rsidRPr="00360E2B">
        <w:rPr>
          <w:rFonts w:cs="Arial"/>
        </w:rPr>
        <w:t>O comércio eletrônico brasileiro atravessa um ciclo de expansão consistente. De acordo com a Associação Brasileira de Comércio Eletrônico [ABComm] (2025), o setor faturou R$ 204 bilhões em 2024, com alta de 10% em relação ao ano anterior, e a projeção para 2025 é de R$ 234,9 bilhões, com 94 milhões de compradores ativos. Junto com esse crescimento, aumentam também os casos em que a experiência de compra fica abaixo do esperado: o produto atrasa, chega danificado ou simplesmente não corresponde ao anúncio. Na prática, essas situações se convertem em avaliações negativas nos marketplaces, afetando diretamente a reputação do vendedor e, por consequência, o funcionamento da plataforma. Luo e Homburg (2007) apontaram que a satisfação do consumidor influencia não apenas a recompra, mas também a eficiência dos investimentos em marketing, o que confere ao tema uma dimensão financeira relevante. Nesse sentido, pesquisa conduzida pela Octadesk em parceria com o Opinion Box revelou que 58% dos consumidores brasileiros afirmaram ter desistido de comprar de uma empresa após experiências negativas, sendo a entrega atrasada e a qualidade do produto ou serviço os principais motivos relatados (Octadesk e Opinion Box, 2024).</w:t>
      </w:r>
    </w:p>
    <w:p w14:paraId="67BBB0C6" w14:textId="77777777" w:rsidR="00360E2B" w:rsidRPr="00360E2B" w:rsidRDefault="00360E2B" w:rsidP="00360E2B">
      <w:pPr>
        <w:pStyle w:val="ParagrafoTCC"/>
        <w:rPr>
          <w:rFonts w:cs="Arial"/>
        </w:rPr>
      </w:pPr>
      <w:r w:rsidRPr="00360E2B">
        <w:rPr>
          <w:rFonts w:cs="Arial"/>
        </w:rPr>
        <w:t>A satisfação do consumidor, segundo Parasuraman et al. (1985), resulta da comparação entre o que ele espera e o que de fato percebe ao receber o serviço. Quando há uma lacuna entre esses dois pontos, a percepção de qualidade cai. Marchetti e Prado (2001), ao analisarem diferentes formas de mensurar a satisfação, argumentaram que tratar o fenômeno de forma simplificada como satisfeito ou insatisfeito leva à perda de informação sobre a sua intensidade. No e-commerce, essa lacuna aparece com frequência na etapa de entrega, que muitas vezes foge ao controle direto do vendedor. Kotler e Keller (2018) destacam que a experiência do cliente é central para a sustentabilidade do varejo, seja físico ou digital. Anderson (1998), por sua vez, demonstrou que consumidores insatisfeitos se engajam mais em boca-a-boca negativo do que os satisfeitos em boca-a-boca positivo; no ambiente digital, isso se traduz em reviews negativos com alcance muito maior.</w:t>
      </w:r>
    </w:p>
    <w:p w14:paraId="26797CD0" w14:textId="77777777" w:rsidR="00360E2B" w:rsidRPr="00360E2B" w:rsidRDefault="00360E2B" w:rsidP="00360E2B">
      <w:pPr>
        <w:pStyle w:val="ParagrafoTCC"/>
        <w:rPr>
          <w:rFonts w:cs="Arial"/>
        </w:rPr>
      </w:pPr>
      <w:r w:rsidRPr="00360E2B">
        <w:rPr>
          <w:rFonts w:cs="Arial"/>
        </w:rPr>
        <w:t xml:space="preserve">Chevalier e Mayzlin (2006) mostraram que reviews afetam diretamente as vendas de livros online. Zhu e Zhang (2010) observaram efeito semelhante no mercado de jogos eletrônicos, com impacto ainda mais forte para produtos menos conhecidos. Mudambi e </w:t>
      </w:r>
      <w:r w:rsidRPr="00360E2B">
        <w:rPr>
          <w:rFonts w:cs="Arial"/>
        </w:rPr>
        <w:lastRenderedPageBreak/>
        <w:t>Schuff (2010) focaram em outro aspecto, o que torna um review útil, concluindo que textos mais detalhados e notas moderadas tendem a ser mais valorizados pelos leitores. O que essas pesquisas têm em comum é que todas investigam o fenômeno pela ótica de quem lê o review e decide com base nele. Poucos trabalhos, no entanto, investigaram o outro lado: quais fatores operacionais fazem com que um vendedor acumule avaliações negativas. Essa assimetria na literatura representa uma lacuna relevante, pois compreender os determinantes da insatisfação do ponto de vista do vendedor é condição necessária para que plataformas e operadores adotem ações preventivas e não apenas reativas. É justamente essa lacuna que o presente estudo busca preencher.</w:t>
      </w:r>
    </w:p>
    <w:p w14:paraId="1DB60C16" w14:textId="77777777" w:rsidR="00360E2B" w:rsidRPr="00360E2B" w:rsidRDefault="00360E2B" w:rsidP="00360E2B">
      <w:pPr>
        <w:pStyle w:val="ParagrafoTCC"/>
        <w:rPr>
          <w:rFonts w:cs="Arial"/>
        </w:rPr>
      </w:pPr>
      <w:r w:rsidRPr="00360E2B">
        <w:rPr>
          <w:rFonts w:cs="Arial"/>
        </w:rPr>
        <w:t>Como a variável de interesse é uma contagem (número de reviews negativos por vendedor), os modelos tradicionais de regressão linear não se aplicam. O ponto de partida para esse tipo de dado é a regressão de Poisson, que, no entanto, pressupõe que a variância seja igual à média, algo que raramente se verifica na prática. Quando a variância supera a média, tem-se o que se chama de sobredispersão, e o modelo adequado passa a ser a regressão Binomial Negativa, que incorpora um parâmetro adicional para acomodar essa variabilidade (Cameron e Trivedi, 2013; Hilbe, 2011). Fávero e Belfiore (2024) apresentam a aplicação desses modelos em problemas econômicos e de negócios, incluindo os testes necessários para decidir entre Poisson e Binomial Negativa.</w:t>
      </w:r>
    </w:p>
    <w:p w14:paraId="6BFA5745" w14:textId="77777777" w:rsidR="00360E2B" w:rsidRPr="00360E2B" w:rsidRDefault="00360E2B" w:rsidP="00360E2B">
      <w:pPr>
        <w:pStyle w:val="ParagrafoTCC"/>
        <w:rPr>
          <w:rFonts w:cs="Arial"/>
        </w:rPr>
      </w:pPr>
      <w:r w:rsidRPr="00360E2B">
        <w:rPr>
          <w:rFonts w:cs="Arial"/>
        </w:rPr>
        <w:t>A proposta deste trabalho é investigar os determinantes da insatisfação do consumidor no e-commerce brasileiro, utilizando como variável dependente a contagem de reviews negativos (notas 1 e 2) por vendedor. Os dados vêm da base pública da Olist (Olist, 2018), que reúne cerca de 100 mil transações realizadas em marketplaces brasileiros entre 2016 e 2018. A análise se concentrará em fatores operacionais do vendedor, como atraso na entrega, valor do frete e categoria de produto, avaliando o quanto cada um desses fatores contribui para a taxa de insatisfação. Diante desse contexto, este estudo busca responder à seguinte questão: quais fatores operacionais determinam a taxa de insatisfação do consumidor no e-commerce brasileiro, medida pela contagem de reviews negativos por vendedor?</w:t>
      </w:r>
    </w:p>
    <w:p w14:paraId="7DF2E381" w14:textId="77777777" w:rsidR="00360E2B" w:rsidRPr="00360E2B" w:rsidRDefault="00360E2B" w:rsidP="00360E2B">
      <w:pPr>
        <w:spacing w:after="200"/>
        <w:rPr>
          <w:rFonts w:ascii="Arial" w:hAnsi="Arial" w:cs="Arial"/>
          <w:b/>
          <w:sz w:val="22"/>
          <w:szCs w:val="22"/>
        </w:rPr>
      </w:pPr>
      <w:r w:rsidRPr="00360E2B">
        <w:rPr>
          <w:rFonts w:ascii="Arial" w:hAnsi="Arial" w:cs="Arial"/>
          <w:sz w:val="22"/>
          <w:szCs w:val="22"/>
        </w:rPr>
        <w:br w:type="page"/>
      </w:r>
    </w:p>
    <w:p w14:paraId="6A0ECC5D" w14:textId="77777777" w:rsidR="00360E2B" w:rsidRPr="00360E2B" w:rsidRDefault="00360E2B" w:rsidP="00360E2B">
      <w:pPr>
        <w:pStyle w:val="TituloTCC"/>
        <w:rPr>
          <w:rFonts w:cs="Arial"/>
        </w:rPr>
      </w:pPr>
      <w:r w:rsidRPr="00360E2B">
        <w:rPr>
          <w:rFonts w:cs="Arial"/>
        </w:rPr>
        <w:lastRenderedPageBreak/>
        <w:t>Objetivo</w:t>
      </w:r>
    </w:p>
    <w:p w14:paraId="54C2F968" w14:textId="77777777" w:rsidR="00360E2B" w:rsidRPr="00360E2B" w:rsidRDefault="00360E2B" w:rsidP="00360E2B">
      <w:pPr>
        <w:pStyle w:val="ParagrafoTCC"/>
        <w:rPr>
          <w:rFonts w:cs="Arial"/>
        </w:rPr>
      </w:pPr>
      <w:r w:rsidRPr="00360E2B">
        <w:rPr>
          <w:rFonts w:cs="Arial"/>
        </w:rPr>
        <w:t>O presente estudo tem como objetivo geral identificar os fatores operacionais determinantes da insatisfação do consumidor no e-commerce brasileiro, operacionalizada pela taxa de reviews negativos (notas 1 e 2) por vendedor, por meio da aplicação de modelos de regressão para dados de contagem a dados transacionais públicos da plataforma Olist.De forma específica, o estudo pretende: verificar se a regressão de Poisson apresenta sobredispersão nos dados, justificando o ajuste de um modelo Binomial Negativa (NB2); estimar os coeficientes do modelo final e identificar quais variáveis operacionais, como atraso na entrega, valor do frete, ticket médio, peso do produto, categoria e localização do vendedor, apresentam associação estatisticamente significativa com a taxa de insatisfação; interpretar os efeitos estimados por meio dos fatores multiplicativos exp(β), avaliando a magnitude e a direção das associações identificadas; e discutir as implicações práticas dos resultados para vendedores e operadores de marketplaces, com vistas à redução de avaliações negativas por meio de ajustes operacionais.</w:t>
      </w:r>
    </w:p>
    <w:p w14:paraId="56E6DAA7" w14:textId="77777777" w:rsidR="00360E2B" w:rsidRPr="00360E2B" w:rsidRDefault="00360E2B" w:rsidP="00360E2B">
      <w:pPr>
        <w:pStyle w:val="TituloTCC"/>
        <w:rPr>
          <w:rFonts w:cs="Arial"/>
        </w:rPr>
      </w:pPr>
      <w:r w:rsidRPr="00360E2B">
        <w:rPr>
          <w:rFonts w:cs="Arial"/>
        </w:rPr>
        <w:t>Metodologia</w:t>
      </w:r>
    </w:p>
    <w:p w14:paraId="715F2AA2" w14:textId="77777777" w:rsidR="00360E2B" w:rsidRPr="00360E2B" w:rsidRDefault="00360E2B" w:rsidP="00360E2B">
      <w:pPr>
        <w:pStyle w:val="ParagrafoTCC"/>
        <w:rPr>
          <w:rFonts w:cs="Arial"/>
        </w:rPr>
      </w:pPr>
      <w:r w:rsidRPr="00360E2B">
        <w:rPr>
          <w:rFonts w:cs="Arial"/>
        </w:rPr>
        <w:t>Trata-se de uma pesquisa quantitativa e descritiva, baseada em dados secundários de acesso público. A base utilizada será o Brazilian E-Commerce Public Dataset, disponibilizado pela Olist na plataforma Kaggle (Olist, 2018). O conjunto de dados reúne aproximadamente 100 mil pedidos realizados em marketplaces brasileiros entre 2016 e 2018, organizados em sete tabelas relacionais: pedidos, itens, pagamentos, avaliações, produtos, vendedores e tradução de categorias.</w:t>
      </w:r>
    </w:p>
    <w:p w14:paraId="6AF36D41" w14:textId="77777777" w:rsidR="00360E2B" w:rsidRPr="00360E2B" w:rsidRDefault="00360E2B" w:rsidP="00360E2B">
      <w:pPr>
        <w:pStyle w:val="TituloTCC"/>
        <w:ind w:firstLine="709"/>
        <w:rPr>
          <w:rFonts w:cs="Arial"/>
        </w:rPr>
      </w:pPr>
      <w:r w:rsidRPr="00360E2B">
        <w:rPr>
          <w:rFonts w:cs="Arial"/>
        </w:rPr>
        <w:t>Dados e unidade de análise</w:t>
      </w:r>
    </w:p>
    <w:p w14:paraId="17B33FBE" w14:textId="77777777" w:rsidR="00360E2B" w:rsidRPr="00360E2B" w:rsidRDefault="00360E2B" w:rsidP="00360E2B">
      <w:pPr>
        <w:pStyle w:val="ParagrafoTCC"/>
        <w:rPr>
          <w:rFonts w:cs="Arial"/>
        </w:rPr>
      </w:pPr>
      <w:r w:rsidRPr="00360E2B">
        <w:rPr>
          <w:rFonts w:cs="Arial"/>
        </w:rPr>
        <w:t>A unidade de análise será o vendedor. As sete tabelas serão integradas e agregadas por identificador de vendedor, resultando em uma base cross-section em que cada linha representa um vendedor e suas respectivas métricas operacionais consolidadas. As variáveis do modelo estão organizadas da seguinte forma:</w:t>
      </w:r>
    </w:p>
    <w:p w14:paraId="52A10981" w14:textId="77777777" w:rsidR="00360E2B" w:rsidRPr="00360E2B" w:rsidRDefault="00360E2B" w:rsidP="00360E2B">
      <w:pPr>
        <w:spacing w:before="120" w:after="120" w:line="360" w:lineRule="auto"/>
        <w:rPr>
          <w:rFonts w:ascii="Arial" w:hAnsi="Arial" w:cs="Arial"/>
          <w:sz w:val="22"/>
          <w:szCs w:val="22"/>
        </w:rPr>
      </w:pPr>
      <w:r w:rsidRPr="00360E2B">
        <w:rPr>
          <w:rFonts w:ascii="Arial" w:hAnsi="Arial" w:cs="Arial"/>
          <w:sz w:val="22"/>
          <w:szCs w:val="22"/>
        </w:rPr>
        <w:t>Variável dependente (Y): contagem de reviews negativos (score 1 ou 2) por vendedor.</w:t>
      </w:r>
    </w:p>
    <w:p w14:paraId="06F67D86" w14:textId="77777777" w:rsidR="00360E2B" w:rsidRPr="00360E2B" w:rsidRDefault="00360E2B" w:rsidP="00360E2B">
      <w:pPr>
        <w:pStyle w:val="ParagrafoTCC"/>
        <w:rPr>
          <w:rFonts w:cs="Arial"/>
        </w:rPr>
      </w:pPr>
      <w:r w:rsidRPr="00360E2B">
        <w:rPr>
          <w:rFonts w:cs="Arial"/>
        </w:rPr>
        <w:t xml:space="preserve">Offset: logaritmo natural do total de reviews recebidos pelo vendedor. A inclusão do offset transforma o modelo de uma regressão sobre contagens absolutas em uma regressão sobre taxas, permitindo comparar vendedores com volumes de vendas distintos em condições de igualdade. Sem esse ajuste, vendedores com maior volume de transações tenderiam a </w:t>
      </w:r>
      <w:r w:rsidRPr="00360E2B">
        <w:rPr>
          <w:rFonts w:cs="Arial"/>
        </w:rPr>
        <w:lastRenderedPageBreak/>
        <w:t>acumular mais reviews negativos simplesmente pelo efeito de exposição, e não pela qualidade de sua operação (Cameron e Trivedi, 2013).</w:t>
      </w:r>
    </w:p>
    <w:p w14:paraId="393A211F" w14:textId="77777777" w:rsidR="00360E2B" w:rsidRPr="00360E2B" w:rsidRDefault="00360E2B" w:rsidP="00360E2B">
      <w:pPr>
        <w:spacing w:before="120" w:after="120" w:line="360" w:lineRule="auto"/>
        <w:rPr>
          <w:rFonts w:ascii="Arial" w:hAnsi="Arial" w:cs="Arial"/>
          <w:sz w:val="22"/>
          <w:szCs w:val="22"/>
        </w:rPr>
      </w:pPr>
      <w:r w:rsidRPr="00360E2B">
        <w:rPr>
          <w:rFonts w:ascii="Arial" w:hAnsi="Arial" w:cs="Arial"/>
          <w:sz w:val="22"/>
          <w:szCs w:val="22"/>
        </w:rPr>
        <w:t>Variáveis independentes: atraso médio na entrega (em dias), ticket médio (R), frete médio (R), peso médio do produto (g), categoria principal do vendedor e unidade federativa do vendedor.</w:t>
      </w:r>
    </w:p>
    <w:p w14:paraId="061578E2" w14:textId="77777777" w:rsidR="00360E2B" w:rsidRPr="00360E2B" w:rsidRDefault="00360E2B" w:rsidP="00360E2B">
      <w:pPr>
        <w:pStyle w:val="ParagrafoTCC"/>
        <w:rPr>
          <w:rFonts w:cs="Arial"/>
        </w:rPr>
      </w:pPr>
      <w:r w:rsidRPr="00360E2B">
        <w:rPr>
          <w:rFonts w:cs="Arial"/>
        </w:rPr>
        <w:t>A amostra incluirá apenas vendedores com pelo menos 5 reviews, de modo que a estimativa da taxa de insatisfação tenha representatividade estatística mínima. Categorias de produto e estados com menos de 30 vendedores serão agrupados em uma categoria residual ("other"), e ambas as variáveis serão convertidas em dummies para inclusão no modelo.</w:t>
      </w:r>
    </w:p>
    <w:p w14:paraId="00CB28AF" w14:textId="77777777" w:rsidR="00360E2B" w:rsidRPr="00360E2B" w:rsidRDefault="00360E2B" w:rsidP="00360E2B">
      <w:pPr>
        <w:pStyle w:val="TituloTCC"/>
        <w:ind w:firstLine="709"/>
        <w:rPr>
          <w:rFonts w:cs="Arial"/>
        </w:rPr>
      </w:pPr>
      <w:r w:rsidRPr="00360E2B">
        <w:rPr>
          <w:rFonts w:cs="Arial"/>
        </w:rPr>
        <w:t>Preparação e análise exploratória dos dados</w:t>
      </w:r>
    </w:p>
    <w:p w14:paraId="0CE465FE" w14:textId="77777777" w:rsidR="00360E2B" w:rsidRPr="00360E2B" w:rsidRDefault="00360E2B" w:rsidP="00360E2B">
      <w:pPr>
        <w:pStyle w:val="ParagrafoTCC"/>
        <w:rPr>
          <w:rFonts w:cs="Arial"/>
        </w:rPr>
      </w:pPr>
      <w:r w:rsidRPr="00360E2B">
        <w:rPr>
          <w:rFonts w:cs="Arial"/>
        </w:rPr>
        <w:t>Antes da modelagem, os dados passarão por etapas de limpeza e padronização, incluindo a verificação de registros duplicados, o tratamento de valores ausentes por exclusão de observações incompletas e a conferência de consistência entre as tabelas relacionais. Em seguida, será realizada uma Análise Exploratória de Dados (AED), com o objetivo de caracterizar a distribuição da variável dependente e das covariáveis. Serão calculadas medidas descritivas de tendência central e dispersão, construídos histogramas e diagramas de caixa para identificar assimetrias e valores atípicos, e elaboradas tabelas de frequência para as variáveis categóricas. A AED também subsidiará a decisão sobre a necessidade de transformações ou recodificações nas variáveis antes da estimação dos modelos (Fávero e Belfiore, 2024).</w:t>
      </w:r>
    </w:p>
    <w:p w14:paraId="31297F64" w14:textId="77777777" w:rsidR="00360E2B" w:rsidRPr="00360E2B" w:rsidRDefault="00360E2B" w:rsidP="00360E2B">
      <w:pPr>
        <w:pStyle w:val="TituloTCC"/>
        <w:ind w:firstLine="709"/>
        <w:rPr>
          <w:rFonts w:cs="Arial"/>
        </w:rPr>
      </w:pPr>
      <w:r w:rsidRPr="00360E2B">
        <w:rPr>
          <w:rFonts w:cs="Arial"/>
        </w:rPr>
        <w:t>Verificação de multicolinearidade</w:t>
      </w:r>
    </w:p>
    <w:p w14:paraId="2008F490" w14:textId="77777777" w:rsidR="00360E2B" w:rsidRPr="00360E2B" w:rsidRDefault="00360E2B" w:rsidP="00360E2B">
      <w:pPr>
        <w:pStyle w:val="ParagrafoTCC"/>
        <w:rPr>
          <w:rFonts w:cs="Arial"/>
        </w:rPr>
      </w:pPr>
      <w:r w:rsidRPr="00360E2B">
        <w:rPr>
          <w:rFonts w:cs="Arial"/>
        </w:rPr>
        <w:t>Antes da estimação do modelo final, será verificada a existência de multicolinearidade entre as variáveis independentes contínuas por meio do Fator de Inflação da Variância (VIF). Variáveis com VIF superior a 10 serão consideradas candidatas à exclusão ou à recodificação, conforme recomendado por Fávero e Belfiore (2024). Esse procedimento visa assegurar a estabilidade dos coeficientes estimados e a confiabilidade da interpretação dos efeitos individuais de cada variável.</w:t>
      </w:r>
    </w:p>
    <w:p w14:paraId="129AF040" w14:textId="77777777" w:rsidR="00360E2B" w:rsidRPr="00360E2B" w:rsidRDefault="00360E2B" w:rsidP="00360E2B">
      <w:pPr>
        <w:spacing w:after="200"/>
        <w:rPr>
          <w:rFonts w:ascii="Arial" w:hAnsi="Arial" w:cs="Arial"/>
          <w:b/>
          <w:sz w:val="22"/>
          <w:szCs w:val="22"/>
        </w:rPr>
      </w:pPr>
      <w:r w:rsidRPr="00360E2B">
        <w:rPr>
          <w:rFonts w:ascii="Arial" w:hAnsi="Arial" w:cs="Arial"/>
          <w:sz w:val="22"/>
          <w:szCs w:val="22"/>
        </w:rPr>
        <w:br w:type="page"/>
      </w:r>
    </w:p>
    <w:p w14:paraId="5CFF7E5C" w14:textId="77777777" w:rsidR="00360E2B" w:rsidRPr="00360E2B" w:rsidRDefault="00360E2B" w:rsidP="00360E2B">
      <w:pPr>
        <w:pStyle w:val="TituloTCC"/>
        <w:ind w:firstLine="709"/>
        <w:rPr>
          <w:rFonts w:cs="Arial"/>
        </w:rPr>
      </w:pPr>
      <w:r w:rsidRPr="00360E2B">
        <w:rPr>
          <w:rFonts w:cs="Arial"/>
        </w:rPr>
        <w:lastRenderedPageBreak/>
        <w:t>Procedimento de modelagem</w:t>
      </w:r>
    </w:p>
    <w:p w14:paraId="509F6CF8" w14:textId="77777777" w:rsidR="00360E2B" w:rsidRPr="00360E2B" w:rsidRDefault="00360E2B" w:rsidP="00360E2B">
      <w:pPr>
        <w:pStyle w:val="ParagrafoTCC"/>
        <w:rPr>
          <w:rFonts w:cs="Arial"/>
        </w:rPr>
      </w:pPr>
      <w:r w:rsidRPr="00360E2B">
        <w:rPr>
          <w:rFonts w:cs="Arial"/>
        </w:rPr>
        <w:t>O procedimento de modelagem seguirá Cameron e Trivedi (2013) e Fávero e Belfiore (2024). O primeiro passo é estimar uma regressão de Poisson como modelo baseline, via método iterativo de mínimos quadrados reponderados (IRLS). Na sequência, o teste de Cameron e Trivedi avaliará formalmente a presença de sobredispersão, contrastando a hipótese nula de equidispersão (variância igual à média) contra a alternativa de variância superior à média. Caso a sobredispersão seja confirmada, será ajustado um modelo Binomial Negativa na parametrização NB2, em que o parâmetro de dispersão alfa é estimado por máxima verossimilhança, conjuntamente com os coeficientes de regressão, permitindo acomodar a variabilidade extra não capturada pela distribuição de Poisson. Para comparar formalmente os dois modelos, será utilizado o teste de razão de verossimilhança.</w:t>
      </w:r>
    </w:p>
    <w:p w14:paraId="0F244AA7" w14:textId="77777777" w:rsidR="00360E2B" w:rsidRPr="00360E2B" w:rsidRDefault="00360E2B" w:rsidP="00360E2B">
      <w:pPr>
        <w:pStyle w:val="ParagrafoTCC"/>
        <w:rPr>
          <w:rFonts w:cs="Arial"/>
        </w:rPr>
      </w:pPr>
      <w:r w:rsidRPr="00360E2B">
        <w:rPr>
          <w:rFonts w:cs="Arial"/>
        </w:rPr>
        <w:t>O modelo final será selecionado com base no Critério de Informação de Akaike (AIC), no Critério de Informação Bayesiano (BIC) e na estatística qui-quadrado de Pearson dividida pelos graus de liberdade, a qual indica bom ajuste quando o valor se aproxima de 1 (Hilbe, 2011). A seleção das variáveis seguirá critério de significância estatística: covariáveis com p-valor superior a 0,05 serão removidas iterativamente, até se obter um modelo reduzido e parcimonioso.</w:t>
      </w:r>
    </w:p>
    <w:p w14:paraId="7E509300" w14:textId="77777777" w:rsidR="00360E2B" w:rsidRPr="00360E2B" w:rsidRDefault="00360E2B" w:rsidP="00360E2B">
      <w:pPr>
        <w:pStyle w:val="ParagrafoTCC"/>
        <w:rPr>
          <w:rFonts w:cs="Arial"/>
        </w:rPr>
      </w:pPr>
      <w:r w:rsidRPr="00360E2B">
        <w:rPr>
          <w:rFonts w:cs="Arial"/>
        </w:rPr>
        <w:t xml:space="preserve">Os coeficientes estimados serão interpretados por meio da form (1): </w:t>
      </w:r>
    </w:p>
    <w:tbl>
      <w:tblPr>
        <w:tblStyle w:val="Tabelacomgrade"/>
        <w:tblW w:w="0" w:type="auto"/>
        <w:tblLook w:val="04A0" w:firstRow="1" w:lastRow="0" w:firstColumn="1" w:lastColumn="0" w:noHBand="0" w:noVBand="1"/>
      </w:tblPr>
      <w:tblGrid>
        <w:gridCol w:w="8556"/>
        <w:gridCol w:w="504"/>
      </w:tblGrid>
      <w:tr w:rsidR="00360E2B" w:rsidRPr="00360E2B" w14:paraId="23DDF7AA" w14:textId="77777777" w:rsidTr="00CC6261">
        <w:tc>
          <w:tcPr>
            <w:tcW w:w="90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2458E3" w14:textId="77777777" w:rsidR="00360E2B" w:rsidRPr="00360E2B" w:rsidRDefault="00000000" w:rsidP="00CC6261">
            <w:pPr>
              <w:spacing w:before="120" w:after="120" w:line="360" w:lineRule="auto"/>
              <w:rPr>
                <w:rFonts w:ascii="Arial" w:hAnsi="Arial" w:cs="Arial"/>
                <w:sz w:val="22"/>
                <w:szCs w:val="22"/>
              </w:rPr>
            </w:pPr>
            <m:oMathPara>
              <m:oMath>
                <m:func>
                  <m:funcPr>
                    <m:ctrlPr>
                      <w:rPr>
                        <w:rFonts w:ascii="Cambria Math" w:hAnsi="Cambria Math" w:cs="Arial"/>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f>
                          <m:fPr>
                            <m:ctrlPr>
                              <w:rPr>
                                <w:rFonts w:ascii="Cambria Math" w:hAnsi="Cambria Math" w:cs="Arial"/>
                                <w:i/>
                                <w:sz w:val="22"/>
                                <w:szCs w:val="22"/>
                              </w:rPr>
                            </m:ctrlPr>
                          </m:fPr>
                          <m:num>
                            <m:sSub>
                              <m:sSubPr>
                                <m:ctrlPr>
                                  <w:rPr>
                                    <w:rFonts w:ascii="Cambria Math" w:hAnsi="Cambria Math" w:cs="Arial"/>
                                    <w:i/>
                                    <w:sz w:val="22"/>
                                    <w:szCs w:val="22"/>
                                  </w:rPr>
                                </m:ctrlPr>
                              </m:sSubPr>
                              <m:e>
                                <m:r>
                                  <m:rPr>
                                    <m:sty m:val="p"/>
                                  </m:rPr>
                                  <w:rPr>
                                    <w:rFonts w:ascii="Cambria Math" w:hAnsi="Cambria Math" w:cs="Arial"/>
                                    <w:sz w:val="22"/>
                                    <w:szCs w:val="22"/>
                                  </w:rPr>
                                  <m:t>μ</m:t>
                                </m:r>
                              </m:e>
                              <m:sub>
                                <m:r>
                                  <w:rPr>
                                    <w:rFonts w:ascii="Cambria Math" w:hAnsi="Cambria Math" w:cs="Arial"/>
                                    <w:sz w:val="22"/>
                                    <w:szCs w:val="22"/>
                                  </w:rPr>
                                  <m:t>i</m:t>
                                </m:r>
                              </m:sub>
                            </m:sSub>
                          </m:num>
                          <m:den>
                            <m:sSub>
                              <m:sSubPr>
                                <m:ctrlPr>
                                  <w:rPr>
                                    <w:rFonts w:ascii="Cambria Math" w:hAnsi="Cambria Math" w:cs="Arial"/>
                                    <w:i/>
                                    <w:sz w:val="22"/>
                                    <w:szCs w:val="22"/>
                                  </w:rPr>
                                </m:ctrlPr>
                              </m:sSubPr>
                              <m:e>
                                <m:r>
                                  <w:rPr>
                                    <w:rFonts w:ascii="Cambria Math" w:hAnsi="Cambria Math" w:cs="Arial"/>
                                    <w:sz w:val="22"/>
                                    <w:szCs w:val="22"/>
                                  </w:rPr>
                                  <m:t>t</m:t>
                                </m:r>
                              </m:e>
                              <m:sub>
                                <m:r>
                                  <w:rPr>
                                    <w:rFonts w:ascii="Cambria Math" w:hAnsi="Cambria Math" w:cs="Arial"/>
                                    <w:sz w:val="22"/>
                                    <w:szCs w:val="22"/>
                                  </w:rPr>
                                  <m:t>i</m:t>
                                </m:r>
                              </m:sub>
                            </m:sSub>
                          </m:den>
                        </m:f>
                      </m:e>
                    </m:d>
                  </m:e>
                </m:func>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w:rPr>
                        <w:rFonts w:ascii="Cambria Math" w:hAnsi="Cambria Math" w:cs="Arial"/>
                        <w:sz w:val="22"/>
                        <w:szCs w:val="22"/>
                      </w:rPr>
                      <m:t>1</m:t>
                    </m:r>
                  </m:sub>
                </m:sSub>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i1</m:t>
                    </m:r>
                  </m:sub>
                </m:sSub>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w:rPr>
                        <w:rFonts w:ascii="Cambria Math" w:hAnsi="Cambria Math" w:cs="Arial"/>
                        <w:sz w:val="22"/>
                        <w:szCs w:val="22"/>
                      </w:rPr>
                      <m:t>2</m:t>
                    </m:r>
                  </m:sub>
                </m:sSub>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i2</m:t>
                    </m:r>
                  </m:sub>
                </m:sSub>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w:rPr>
                        <w:rFonts w:ascii="Cambria Math" w:hAnsi="Cambria Math" w:cs="Arial"/>
                        <w:sz w:val="22"/>
                        <w:szCs w:val="22"/>
                      </w:rPr>
                      <m:t>k</m:t>
                    </m:r>
                  </m:sub>
                </m:sSub>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ik</m:t>
                    </m:r>
                  </m:sub>
                </m:sSub>
              </m:oMath>
            </m:oMathPara>
          </w:p>
        </w:tc>
        <w:tc>
          <w:tcPr>
            <w:tcW w:w="5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730044" w14:textId="77777777" w:rsidR="00360E2B" w:rsidRPr="00360E2B" w:rsidRDefault="00360E2B" w:rsidP="00CC6261">
            <w:pPr>
              <w:spacing w:before="120" w:after="120" w:line="360" w:lineRule="auto"/>
              <w:jc w:val="right"/>
              <w:rPr>
                <w:rFonts w:ascii="Arial" w:hAnsi="Arial" w:cs="Arial"/>
                <w:sz w:val="22"/>
                <w:szCs w:val="22"/>
              </w:rPr>
            </w:pPr>
            <w:r w:rsidRPr="00360E2B">
              <w:rPr>
                <w:rFonts w:ascii="Arial" w:hAnsi="Arial" w:cs="Arial"/>
                <w:sz w:val="22"/>
                <w:szCs w:val="22"/>
              </w:rPr>
              <w:t>(1)</w:t>
            </w:r>
          </w:p>
        </w:tc>
      </w:tr>
    </w:tbl>
    <w:p w14:paraId="1572E8C3" w14:textId="77777777" w:rsidR="00360E2B" w:rsidRPr="00360E2B" w:rsidRDefault="00360E2B" w:rsidP="00360E2B">
      <w:pPr>
        <w:pStyle w:val="ParagrafoTCC"/>
        <w:ind w:firstLine="0"/>
        <w:rPr>
          <w:rFonts w:cs="Arial"/>
        </w:rPr>
      </w:pPr>
      <w:r w:rsidRPr="00360E2B">
        <w:rPr>
          <w:rFonts w:cs="Arial"/>
        </w:rPr>
        <w:t>em que μ</w:t>
      </w:r>
      <w:r w:rsidRPr="00360E2B">
        <w:rPr>
          <w:rFonts w:cs="Arial"/>
          <w:vertAlign w:val="subscript"/>
        </w:rPr>
        <w:t>i</w:t>
      </w:r>
      <w:r w:rsidRPr="00360E2B">
        <w:rPr>
          <w:rFonts w:cs="Arial"/>
        </w:rPr>
        <w:t>​ representa a contagem esperada de reviews negativos para o vendedor i, t</w:t>
      </w:r>
      <w:r w:rsidRPr="00360E2B">
        <w:rPr>
          <w:rFonts w:cs="Arial"/>
          <w:vertAlign w:val="subscript"/>
        </w:rPr>
        <w:t>i</w:t>
      </w:r>
      <w:r w:rsidRPr="00360E2B">
        <w:rPr>
          <w:rFonts w:cs="Arial"/>
        </w:rPr>
        <w:t>​ é o total de reviews recebidos por esse vendedor (o offset), β</w:t>
      </w:r>
      <w:r w:rsidRPr="00360E2B">
        <w:rPr>
          <w:rFonts w:cs="Arial"/>
          <w:vertAlign w:val="subscript"/>
        </w:rPr>
        <w:t>0</w:t>
      </w:r>
      <w:r w:rsidRPr="00360E2B">
        <w:rPr>
          <w:rFonts w:cs="Arial"/>
        </w:rPr>
        <w:t>​ é o intercepto do modelo, e β</w:t>
      </w:r>
      <w:proofErr w:type="gramStart"/>
      <w:r w:rsidRPr="00360E2B">
        <w:rPr>
          <w:rFonts w:cs="Arial"/>
          <w:vertAlign w:val="subscript"/>
        </w:rPr>
        <w:t>1</w:t>
      </w:r>
      <w:r w:rsidRPr="00360E2B">
        <w:rPr>
          <w:rFonts w:cs="Arial"/>
        </w:rPr>
        <w:t>,β</w:t>
      </w:r>
      <w:r w:rsidRPr="00360E2B">
        <w:rPr>
          <w:rFonts w:cs="Arial"/>
          <w:vertAlign w:val="subscript"/>
        </w:rPr>
        <w:t>2</w:t>
      </w:r>
      <w:r w:rsidRPr="00360E2B">
        <w:rPr>
          <w:rFonts w:cs="Arial"/>
        </w:rPr>
        <w:t>,…</w:t>
      </w:r>
      <w:proofErr w:type="gramEnd"/>
      <w:r w:rsidRPr="00360E2B">
        <w:rPr>
          <w:rFonts w:cs="Arial"/>
        </w:rPr>
        <w:t>,β</w:t>
      </w:r>
      <w:r w:rsidRPr="00360E2B">
        <w:rPr>
          <w:rFonts w:cs="Arial"/>
          <w:vertAlign w:val="subscript"/>
        </w:rPr>
        <w:t>k</w:t>
      </w:r>
      <w:r w:rsidRPr="00360E2B">
        <w:rPr>
          <w:rFonts w:cs="Arial"/>
        </w:rPr>
        <w:t xml:space="preserve"> são os coeficientes associados às variáveis independentes x</w:t>
      </w:r>
      <w:r w:rsidRPr="00360E2B">
        <w:rPr>
          <w:rFonts w:cs="Arial"/>
          <w:vertAlign w:val="subscript"/>
        </w:rPr>
        <w:t>i</w:t>
      </w:r>
      <w:proofErr w:type="gramStart"/>
      <w:r w:rsidRPr="00360E2B">
        <w:rPr>
          <w:rFonts w:cs="Arial"/>
          <w:vertAlign w:val="subscript"/>
        </w:rPr>
        <w:t>1</w:t>
      </w:r>
      <w:r w:rsidRPr="00360E2B">
        <w:rPr>
          <w:rFonts w:cs="Arial"/>
        </w:rPr>
        <w:t>,x</w:t>
      </w:r>
      <w:r w:rsidRPr="00360E2B">
        <w:rPr>
          <w:rFonts w:cs="Arial"/>
          <w:vertAlign w:val="subscript"/>
        </w:rPr>
        <w:t>i2</w:t>
      </w:r>
      <w:r w:rsidRPr="00360E2B">
        <w:rPr>
          <w:rFonts w:cs="Arial"/>
        </w:rPr>
        <w:t>,…</w:t>
      </w:r>
      <w:proofErr w:type="gramEnd"/>
      <w:r w:rsidRPr="00360E2B">
        <w:rPr>
          <w:rFonts w:cs="Arial"/>
        </w:rPr>
        <w:t>,x</w:t>
      </w:r>
      <w:r w:rsidRPr="00360E2B">
        <w:rPr>
          <w:rFonts w:cs="Arial"/>
          <w:vertAlign w:val="subscript"/>
        </w:rPr>
        <w:t>ik</w:t>
      </w:r>
      <w:r w:rsidRPr="00360E2B">
        <w:rPr>
          <w:rFonts w:cs="Arial"/>
        </w:rPr>
        <w:t xml:space="preserve">​. A função de ligação logarítmica garante que os valores preditos sejam sempre não negativos, respeitando a natureza da variável dependente (Cameron e Trivedi, 2013). </w:t>
      </w:r>
    </w:p>
    <w:p w14:paraId="74583690" w14:textId="77777777" w:rsidR="00360E2B" w:rsidRPr="00360E2B" w:rsidRDefault="00360E2B" w:rsidP="00360E2B">
      <w:pPr>
        <w:pStyle w:val="ParagrafoTCC"/>
        <w:rPr>
          <w:rFonts w:cs="Arial"/>
        </w:rPr>
      </w:pPr>
      <w:r w:rsidRPr="00360E2B">
        <w:rPr>
          <w:rFonts w:cs="Arial"/>
        </w:rPr>
        <w:t>Os efeitos de cada covariável sobre a taxa de insatisfação são obtidos por meio de exp(β</w:t>
      </w:r>
      <w:r w:rsidRPr="00360E2B">
        <w:rPr>
          <w:rFonts w:cs="Arial"/>
          <w:vertAlign w:val="subscript"/>
        </w:rPr>
        <w:t>j</w:t>
      </w:r>
      <w:r w:rsidRPr="00360E2B">
        <w:rPr>
          <w:rFonts w:cs="Arial"/>
        </w:rPr>
        <w:t>), que expressa o fator multiplicativo associado a um incremento unitário em x</w:t>
      </w:r>
      <w:r w:rsidRPr="00360E2B">
        <w:rPr>
          <w:rFonts w:cs="Arial"/>
          <w:vertAlign w:val="subscript"/>
        </w:rPr>
        <w:t>ij</w:t>
      </w:r>
      <w:r w:rsidRPr="00360E2B">
        <w:rPr>
          <w:rFonts w:cs="Arial"/>
        </w:rPr>
        <w:t>​, mantidas as demais variáveis constantes. Valores de exp(β</w:t>
      </w:r>
      <w:r w:rsidRPr="00360E2B">
        <w:rPr>
          <w:rFonts w:cs="Arial"/>
          <w:vertAlign w:val="subscript"/>
        </w:rPr>
        <w:t>j</w:t>
      </w:r>
      <w:r w:rsidRPr="00360E2B">
        <w:rPr>
          <w:rFonts w:cs="Arial"/>
        </w:rPr>
        <w:t>​)&gt;1 indicam aumento na taxa de reviews negativos e valores exp(β</w:t>
      </w:r>
      <w:proofErr w:type="gramStart"/>
      <w:r w:rsidRPr="00360E2B">
        <w:rPr>
          <w:rFonts w:cs="Arial"/>
          <w:vertAlign w:val="subscript"/>
        </w:rPr>
        <w:t>j</w:t>
      </w:r>
      <w:r w:rsidRPr="00360E2B">
        <w:rPr>
          <w:rFonts w:cs="Arial"/>
        </w:rPr>
        <w:t>​)&lt;</w:t>
      </w:r>
      <w:proofErr w:type="gramEnd"/>
      <w:r w:rsidRPr="00360E2B">
        <w:rPr>
          <w:rFonts w:cs="Arial"/>
        </w:rPr>
        <w:t>1 indicam redução.</w:t>
      </w:r>
    </w:p>
    <w:p w14:paraId="77321537" w14:textId="77777777" w:rsidR="00360E2B" w:rsidRPr="00360E2B" w:rsidRDefault="00360E2B" w:rsidP="00360E2B">
      <w:pPr>
        <w:pStyle w:val="ParagrafoTCC"/>
        <w:rPr>
          <w:rFonts w:cs="Arial"/>
        </w:rPr>
      </w:pPr>
      <w:r w:rsidRPr="00360E2B">
        <w:rPr>
          <w:rFonts w:cs="Arial"/>
        </w:rPr>
        <w:t>Toda a análise será conduzida em Python, com uso das bibliotecas pandas e numpy para manipulação e agregação dos dados, statsmodels para estimação dos modelos e realização dos testes estatísticos, e scipy para cálculos complementares.</w:t>
      </w:r>
    </w:p>
    <w:p w14:paraId="5764D631" w14:textId="77777777" w:rsidR="00360E2B" w:rsidRPr="00360E2B" w:rsidRDefault="00360E2B" w:rsidP="00360E2B">
      <w:pPr>
        <w:pStyle w:val="TituloTCC"/>
        <w:rPr>
          <w:rFonts w:cs="Arial"/>
        </w:rPr>
      </w:pPr>
      <w:r w:rsidRPr="00360E2B">
        <w:rPr>
          <w:rFonts w:cs="Arial"/>
        </w:rPr>
        <w:t>Resultados esperados</w:t>
      </w:r>
    </w:p>
    <w:p w14:paraId="5279EF57" w14:textId="77777777" w:rsidR="00360E2B" w:rsidRPr="00360E2B" w:rsidRDefault="00360E2B" w:rsidP="00360E2B">
      <w:pPr>
        <w:pStyle w:val="ParagrafoTCC"/>
        <w:rPr>
          <w:rFonts w:cs="Arial"/>
        </w:rPr>
      </w:pPr>
      <w:r w:rsidRPr="00360E2B">
        <w:rPr>
          <w:rFonts w:cs="Arial"/>
        </w:rPr>
        <w:lastRenderedPageBreak/>
        <w:t>A expectativa é que a regressão Binomial Negativa se mostre mais adequada do que a regressão de Poisson para modelar a taxa de reviews negativos por vendedor. Dados de contagem oriundos de transações em marketplaces tendem a apresentar sobredispersão, uma vez que a variabilidade entre vendedores é naturalmente elevada: enquanto alguns acumulam poucos reviews negativos independentemente do volume de vendas, outros concentram insatisfação de forma desproporcional, o que eleva a variância acima da média e viola o pressuposto de equidispersão da distribuição de Poisson (Cameron e Trivedi, 2013; Hilbe, 2011). Espera-se, portanto, que o teste de Cameron e Trivedi rejeite a hipótese de equidispersão e que o modelo NB2 apresente valores de AIC, BIC e qui-quadrado de Pearson por grau de liberdade superiores em termos de ajuste ao modelo baseline.</w:t>
      </w:r>
    </w:p>
    <w:p w14:paraId="2ADFB8C5" w14:textId="77777777" w:rsidR="00360E2B" w:rsidRPr="00360E2B" w:rsidRDefault="00360E2B" w:rsidP="00360E2B">
      <w:pPr>
        <w:pStyle w:val="ParagrafoTCC"/>
        <w:rPr>
          <w:rFonts w:cs="Arial"/>
        </w:rPr>
      </w:pPr>
      <w:r w:rsidRPr="00360E2B">
        <w:rPr>
          <w:rFonts w:cs="Arial"/>
        </w:rPr>
        <w:t>No que se refere às variáveis operacionais, espera-se que o atraso médio na entrega apresente associação positiva e estatisticamente significativa com a taxa de reviews negativos, dado que a entrega é o principal ponto de contato entre o vendedor e o consumidor após a compra e uma das principais fontes de insatisfação relatadas em pesquisas sobre o e-commerce brasileiro (Octadesk e Opinion Box, 2024). O frete médio também é esperado como variável relevante: fretes elevados tendem a ampliar as expectativas do consumidor em relação à qualidade e à pontualidade da entrega, tornando a experiência mais suscetível a avaliações negativas quando qualquer falha ocorre. O ticket médio e o peso médio do produto devem apresentar efeitos mais moderados, embora produtos mais caros ou mais pesados possam estar associados a maior complexidade logística e, por consequência, a maior risco de insatisfação.</w:t>
      </w:r>
    </w:p>
    <w:p w14:paraId="63C02113" w14:textId="77777777" w:rsidR="00360E2B" w:rsidRPr="00360E2B" w:rsidRDefault="00360E2B" w:rsidP="00360E2B">
      <w:pPr>
        <w:pStyle w:val="ParagrafoTCC"/>
        <w:rPr>
          <w:rFonts w:cs="Arial"/>
        </w:rPr>
      </w:pPr>
      <w:r w:rsidRPr="00360E2B">
        <w:rPr>
          <w:rFonts w:cs="Arial"/>
        </w:rPr>
        <w:t>Em relação às variáveis categóricas, antecipa-se a existência de heterogeneidade entre categorias de produto, com segmentos que demandam maior cuidado no manuseio ou que possuem maior variabilidade de expectativa por parte do consumidor, como eletrônicos e produtos de moda, apresentando taxas de insatisfação distintas daquelas observadas em categorias de menor complexidade. Da mesma forma, espera-se variação entre as unidades federativas, refletindo diferenças na infraestrutura logística regional, no tempo médio de entrega e na concentração de vendedores por estado.</w:t>
      </w:r>
    </w:p>
    <w:p w14:paraId="5CC1C8FE" w14:textId="77777777" w:rsidR="00360E2B" w:rsidRPr="00360E2B" w:rsidRDefault="00360E2B" w:rsidP="00360E2B">
      <w:pPr>
        <w:pStyle w:val="ParagrafoTCC"/>
        <w:rPr>
          <w:rFonts w:cs="Arial"/>
        </w:rPr>
      </w:pPr>
      <w:r w:rsidRPr="00360E2B">
        <w:rPr>
          <w:rFonts w:cs="Arial"/>
        </w:rPr>
        <w:t>Do ponto de vista da seleção do modelo final, espera-se que o procedimento de remoção iterativa de variáveis não significativas resulte em um modelo reduzido e parcimonioso, com coeficientes interpretáveis por meio de exp(β). Um valor de exp(β) superior a 1 para determinada variável indicará que seu incremento unitário está associado a um aumento proporcional na taxa de reviews negativos; valores inferiores a 1 indicarão efeito protetor. Essa forma de interpretação permitirá quantificar, em termos práticos, o impacto relativo de cada fator operacional sobre a insatisfação do consumidor.</w:t>
      </w:r>
    </w:p>
    <w:p w14:paraId="1148921E" w14:textId="77777777" w:rsidR="00360E2B" w:rsidRPr="00360E2B" w:rsidRDefault="00360E2B" w:rsidP="00360E2B">
      <w:pPr>
        <w:pStyle w:val="ParagrafoTCC"/>
        <w:rPr>
          <w:rFonts w:cs="Arial"/>
        </w:rPr>
      </w:pPr>
      <w:r w:rsidRPr="00360E2B">
        <w:rPr>
          <w:rFonts w:cs="Arial"/>
        </w:rPr>
        <w:t xml:space="preserve">Do ponto de vista aplicado, os resultados deste estudo poderão subsidiar decisões operacionais tanto de vendedores individuais quanto de gestores de plataformas de </w:t>
      </w:r>
      <w:r w:rsidRPr="00360E2B">
        <w:rPr>
          <w:rFonts w:cs="Arial"/>
        </w:rPr>
        <w:lastRenderedPageBreak/>
        <w:t>marketplace. Caso o atraso na entrega se confirme como o determinante de maior magnitude, isso reforça a prioridade de investimentos em logística, gestão de prazos e comunicação proativa com o consumidor. Se o frete elevado emergir como fator relevante, a revisão das políticas de precificação de frete e a oferta de opções de entrega mais acessíveis ganham sustentação empírica. A identificação de categorias de produto com perfis sistemáticos de insatisfação pode, ainda, orientar a definição de critérios de entrada e de monitoramento de qualidade por segmento dentro das plataformas.</w:t>
      </w:r>
    </w:p>
    <w:p w14:paraId="281A3435" w14:textId="77777777" w:rsidR="00360E2B" w:rsidRPr="00360E2B" w:rsidRDefault="00360E2B" w:rsidP="00360E2B">
      <w:pPr>
        <w:pStyle w:val="ParagrafoTCC"/>
        <w:rPr>
          <w:rFonts w:cs="Arial"/>
          <w:b/>
        </w:rPr>
      </w:pPr>
      <w:r w:rsidRPr="00360E2B">
        <w:rPr>
          <w:rFonts w:cs="Arial"/>
        </w:rPr>
        <w:t>Por fim, os resultados contribuirão para preencher a lacuna identificada na literatura, ao oferecer uma análise quantitativa dos determinantes da insatisfação sob a perspectiva do vendedor, com base em dados reais de transações brasileiras e metodologia estatisticamente adequada à natureza da variável de interesse.</w:t>
      </w:r>
    </w:p>
    <w:p w14:paraId="1051AEA6" w14:textId="77777777" w:rsidR="00360E2B" w:rsidRPr="00360E2B" w:rsidRDefault="00360E2B" w:rsidP="00360E2B">
      <w:pPr>
        <w:pStyle w:val="TituloTCC"/>
        <w:rPr>
          <w:rFonts w:cs="Arial"/>
        </w:rPr>
      </w:pPr>
      <w:r w:rsidRPr="00360E2B">
        <w:rPr>
          <w:rFonts w:cs="Arial"/>
        </w:rPr>
        <w:t>Cronograma de Atividades</w:t>
      </w:r>
    </w:p>
    <w:tbl>
      <w:tblPr>
        <w:tblStyle w:val="Tabelacomgrade"/>
        <w:tblW w:w="8880" w:type="dxa"/>
        <w:jc w:val="center"/>
        <w:tblLook w:val="04A0" w:firstRow="1" w:lastRow="0" w:firstColumn="1" w:lastColumn="0" w:noHBand="0" w:noVBand="1"/>
      </w:tblPr>
      <w:tblGrid>
        <w:gridCol w:w="3522"/>
        <w:gridCol w:w="608"/>
        <w:gridCol w:w="595"/>
        <w:gridCol w:w="583"/>
        <w:gridCol w:w="608"/>
        <w:gridCol w:w="534"/>
        <w:gridCol w:w="644"/>
        <w:gridCol w:w="559"/>
        <w:gridCol w:w="595"/>
        <w:gridCol w:w="632"/>
      </w:tblGrid>
      <w:tr w:rsidR="00360E2B" w:rsidRPr="00360E2B" w14:paraId="07F45BC4" w14:textId="77777777" w:rsidTr="00360E2B">
        <w:trPr>
          <w:trHeight w:val="354"/>
          <w:jc w:val="center"/>
        </w:trPr>
        <w:tc>
          <w:tcPr>
            <w:tcW w:w="3655" w:type="dxa"/>
            <w:vAlign w:val="center"/>
          </w:tcPr>
          <w:p w14:paraId="28A5BE2B" w14:textId="77777777" w:rsidR="00360E2B" w:rsidRPr="00360E2B" w:rsidRDefault="00360E2B" w:rsidP="00CC6261">
            <w:pPr>
              <w:rPr>
                <w:rFonts w:ascii="Arial" w:hAnsi="Arial" w:cs="Arial"/>
                <w:sz w:val="22"/>
                <w:szCs w:val="22"/>
              </w:rPr>
            </w:pPr>
            <w:r w:rsidRPr="00360E2B">
              <w:rPr>
                <w:rFonts w:ascii="Arial" w:hAnsi="Arial" w:cs="Arial"/>
                <w:b/>
                <w:sz w:val="22"/>
                <w:szCs w:val="22"/>
              </w:rPr>
              <w:t>Atividade</w:t>
            </w:r>
          </w:p>
        </w:tc>
        <w:tc>
          <w:tcPr>
            <w:tcW w:w="596" w:type="dxa"/>
            <w:vAlign w:val="center"/>
          </w:tcPr>
          <w:p w14:paraId="797D435F" w14:textId="77777777" w:rsidR="00360E2B" w:rsidRPr="00360E2B" w:rsidRDefault="00360E2B" w:rsidP="00CC6261">
            <w:pPr>
              <w:rPr>
                <w:rFonts w:ascii="Arial" w:hAnsi="Arial" w:cs="Arial"/>
                <w:sz w:val="22"/>
                <w:szCs w:val="22"/>
              </w:rPr>
            </w:pPr>
            <w:r w:rsidRPr="00360E2B">
              <w:rPr>
                <w:rFonts w:ascii="Arial" w:hAnsi="Arial" w:cs="Arial"/>
                <w:b/>
                <w:sz w:val="22"/>
                <w:szCs w:val="22"/>
              </w:rPr>
              <w:t>Mar</w:t>
            </w:r>
          </w:p>
        </w:tc>
        <w:tc>
          <w:tcPr>
            <w:tcW w:w="583" w:type="dxa"/>
            <w:vAlign w:val="center"/>
          </w:tcPr>
          <w:p w14:paraId="558E85DA" w14:textId="77777777" w:rsidR="00360E2B" w:rsidRPr="00360E2B" w:rsidRDefault="00360E2B" w:rsidP="00CC6261">
            <w:pPr>
              <w:rPr>
                <w:rFonts w:ascii="Arial" w:hAnsi="Arial" w:cs="Arial"/>
                <w:sz w:val="22"/>
                <w:szCs w:val="22"/>
              </w:rPr>
            </w:pPr>
            <w:r w:rsidRPr="00360E2B">
              <w:rPr>
                <w:rFonts w:ascii="Arial" w:hAnsi="Arial" w:cs="Arial"/>
                <w:b/>
                <w:sz w:val="22"/>
                <w:szCs w:val="22"/>
              </w:rPr>
              <w:t>Abr</w:t>
            </w:r>
          </w:p>
        </w:tc>
        <w:tc>
          <w:tcPr>
            <w:tcW w:w="571" w:type="dxa"/>
            <w:vAlign w:val="center"/>
          </w:tcPr>
          <w:p w14:paraId="57B1DD3A" w14:textId="77777777" w:rsidR="00360E2B" w:rsidRPr="00360E2B" w:rsidRDefault="00360E2B" w:rsidP="00CC6261">
            <w:pPr>
              <w:rPr>
                <w:rFonts w:ascii="Arial" w:hAnsi="Arial" w:cs="Arial"/>
                <w:sz w:val="22"/>
                <w:szCs w:val="22"/>
              </w:rPr>
            </w:pPr>
            <w:r w:rsidRPr="00360E2B">
              <w:rPr>
                <w:rFonts w:ascii="Arial" w:hAnsi="Arial" w:cs="Arial"/>
                <w:b/>
                <w:sz w:val="22"/>
                <w:szCs w:val="22"/>
              </w:rPr>
              <w:t>Mai</w:t>
            </w:r>
          </w:p>
        </w:tc>
        <w:tc>
          <w:tcPr>
            <w:tcW w:w="596" w:type="dxa"/>
            <w:vAlign w:val="center"/>
          </w:tcPr>
          <w:p w14:paraId="5D80DC86" w14:textId="77777777" w:rsidR="00360E2B" w:rsidRPr="00360E2B" w:rsidRDefault="00360E2B" w:rsidP="00CC6261">
            <w:pPr>
              <w:rPr>
                <w:rFonts w:ascii="Arial" w:hAnsi="Arial" w:cs="Arial"/>
                <w:sz w:val="22"/>
                <w:szCs w:val="22"/>
              </w:rPr>
            </w:pPr>
            <w:r w:rsidRPr="00360E2B">
              <w:rPr>
                <w:rFonts w:ascii="Arial" w:hAnsi="Arial" w:cs="Arial"/>
                <w:b/>
                <w:sz w:val="22"/>
                <w:szCs w:val="22"/>
              </w:rPr>
              <w:t>Jun</w:t>
            </w:r>
          </w:p>
        </w:tc>
        <w:tc>
          <w:tcPr>
            <w:tcW w:w="522" w:type="dxa"/>
            <w:vAlign w:val="center"/>
          </w:tcPr>
          <w:p w14:paraId="3398F472" w14:textId="77777777" w:rsidR="00360E2B" w:rsidRPr="00360E2B" w:rsidRDefault="00360E2B" w:rsidP="00CC6261">
            <w:pPr>
              <w:rPr>
                <w:rFonts w:ascii="Arial" w:hAnsi="Arial" w:cs="Arial"/>
                <w:sz w:val="22"/>
                <w:szCs w:val="22"/>
              </w:rPr>
            </w:pPr>
            <w:r w:rsidRPr="00360E2B">
              <w:rPr>
                <w:rFonts w:ascii="Arial" w:hAnsi="Arial" w:cs="Arial"/>
                <w:b/>
                <w:sz w:val="22"/>
                <w:szCs w:val="22"/>
              </w:rPr>
              <w:t>Jul</w:t>
            </w:r>
          </w:p>
        </w:tc>
        <w:tc>
          <w:tcPr>
            <w:tcW w:w="631" w:type="dxa"/>
            <w:vAlign w:val="center"/>
          </w:tcPr>
          <w:p w14:paraId="0DE6853F" w14:textId="77777777" w:rsidR="00360E2B" w:rsidRPr="00360E2B" w:rsidRDefault="00360E2B" w:rsidP="00CC6261">
            <w:pPr>
              <w:rPr>
                <w:rFonts w:ascii="Arial" w:hAnsi="Arial" w:cs="Arial"/>
                <w:sz w:val="22"/>
                <w:szCs w:val="22"/>
              </w:rPr>
            </w:pPr>
            <w:r w:rsidRPr="00360E2B">
              <w:rPr>
                <w:rFonts w:ascii="Arial" w:hAnsi="Arial" w:cs="Arial"/>
                <w:b/>
                <w:sz w:val="22"/>
                <w:szCs w:val="22"/>
              </w:rPr>
              <w:t>Ago</w:t>
            </w:r>
          </w:p>
        </w:tc>
        <w:tc>
          <w:tcPr>
            <w:tcW w:w="547" w:type="dxa"/>
            <w:vAlign w:val="center"/>
          </w:tcPr>
          <w:p w14:paraId="5F926E78" w14:textId="77777777" w:rsidR="00360E2B" w:rsidRPr="00360E2B" w:rsidRDefault="00360E2B" w:rsidP="00CC6261">
            <w:pPr>
              <w:rPr>
                <w:rFonts w:ascii="Arial" w:hAnsi="Arial" w:cs="Arial"/>
                <w:b/>
                <w:sz w:val="22"/>
                <w:szCs w:val="22"/>
              </w:rPr>
            </w:pPr>
            <w:r w:rsidRPr="00360E2B">
              <w:rPr>
                <w:rFonts w:ascii="Arial" w:hAnsi="Arial" w:cs="Arial"/>
                <w:b/>
                <w:sz w:val="22"/>
                <w:szCs w:val="22"/>
              </w:rPr>
              <w:t>Set</w:t>
            </w:r>
          </w:p>
        </w:tc>
        <w:tc>
          <w:tcPr>
            <w:tcW w:w="583" w:type="dxa"/>
            <w:vAlign w:val="center"/>
          </w:tcPr>
          <w:p w14:paraId="0FA4CE5C" w14:textId="77777777" w:rsidR="00360E2B" w:rsidRPr="00360E2B" w:rsidRDefault="00360E2B" w:rsidP="00CC6261">
            <w:pPr>
              <w:rPr>
                <w:rFonts w:ascii="Arial" w:hAnsi="Arial" w:cs="Arial"/>
                <w:b/>
                <w:sz w:val="22"/>
                <w:szCs w:val="22"/>
              </w:rPr>
            </w:pPr>
            <w:r w:rsidRPr="00360E2B">
              <w:rPr>
                <w:rFonts w:ascii="Arial" w:hAnsi="Arial" w:cs="Arial"/>
                <w:b/>
                <w:sz w:val="22"/>
                <w:szCs w:val="22"/>
              </w:rPr>
              <w:t>Out</w:t>
            </w:r>
          </w:p>
        </w:tc>
        <w:tc>
          <w:tcPr>
            <w:tcW w:w="596" w:type="dxa"/>
            <w:vAlign w:val="center"/>
          </w:tcPr>
          <w:p w14:paraId="408D4DF4" w14:textId="124B62EB" w:rsidR="00360E2B" w:rsidRPr="00360E2B" w:rsidRDefault="00360E2B" w:rsidP="00CC6261">
            <w:pPr>
              <w:rPr>
                <w:rFonts w:ascii="Arial" w:hAnsi="Arial" w:cs="Arial"/>
                <w:b/>
                <w:sz w:val="22"/>
                <w:szCs w:val="22"/>
              </w:rPr>
            </w:pPr>
            <w:r>
              <w:rPr>
                <w:rFonts w:ascii="Arial" w:hAnsi="Arial" w:cs="Arial"/>
                <w:b/>
                <w:sz w:val="22"/>
                <w:szCs w:val="22"/>
              </w:rPr>
              <w:t>Nov</w:t>
            </w:r>
          </w:p>
        </w:tc>
      </w:tr>
      <w:tr w:rsidR="00360E2B" w:rsidRPr="00360E2B" w14:paraId="225F47BA" w14:textId="77777777" w:rsidTr="00360E2B">
        <w:trPr>
          <w:trHeight w:val="354"/>
          <w:jc w:val="center"/>
        </w:trPr>
        <w:tc>
          <w:tcPr>
            <w:tcW w:w="3655" w:type="dxa"/>
            <w:vAlign w:val="center"/>
          </w:tcPr>
          <w:p w14:paraId="447124AD" w14:textId="77777777" w:rsidR="00360E2B" w:rsidRPr="00360E2B" w:rsidRDefault="00360E2B" w:rsidP="00CC6261">
            <w:pPr>
              <w:rPr>
                <w:rFonts w:ascii="Arial" w:hAnsi="Arial" w:cs="Arial"/>
                <w:sz w:val="22"/>
                <w:szCs w:val="22"/>
              </w:rPr>
            </w:pPr>
            <w:r w:rsidRPr="00360E2B">
              <w:rPr>
                <w:rFonts w:ascii="Arial" w:hAnsi="Arial" w:cs="Arial"/>
                <w:sz w:val="22"/>
                <w:szCs w:val="22"/>
              </w:rPr>
              <w:t>Revisão bibliográfica</w:t>
            </w:r>
          </w:p>
        </w:tc>
        <w:tc>
          <w:tcPr>
            <w:tcW w:w="596" w:type="dxa"/>
            <w:vAlign w:val="center"/>
          </w:tcPr>
          <w:p w14:paraId="4398DCB6"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83" w:type="dxa"/>
            <w:vAlign w:val="center"/>
          </w:tcPr>
          <w:p w14:paraId="5A58001E"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71" w:type="dxa"/>
            <w:vAlign w:val="center"/>
          </w:tcPr>
          <w:p w14:paraId="7D095C1B" w14:textId="77777777" w:rsidR="00360E2B" w:rsidRPr="00360E2B" w:rsidRDefault="00360E2B" w:rsidP="00CC6261">
            <w:pPr>
              <w:jc w:val="center"/>
              <w:rPr>
                <w:rFonts w:ascii="Arial" w:hAnsi="Arial" w:cs="Arial"/>
                <w:sz w:val="22"/>
                <w:szCs w:val="22"/>
              </w:rPr>
            </w:pPr>
          </w:p>
        </w:tc>
        <w:tc>
          <w:tcPr>
            <w:tcW w:w="596" w:type="dxa"/>
            <w:vAlign w:val="center"/>
          </w:tcPr>
          <w:p w14:paraId="6B1F7683" w14:textId="77777777" w:rsidR="00360E2B" w:rsidRPr="00360E2B" w:rsidRDefault="00360E2B" w:rsidP="00CC6261">
            <w:pPr>
              <w:jc w:val="center"/>
              <w:rPr>
                <w:rFonts w:ascii="Arial" w:hAnsi="Arial" w:cs="Arial"/>
                <w:sz w:val="22"/>
                <w:szCs w:val="22"/>
              </w:rPr>
            </w:pPr>
          </w:p>
        </w:tc>
        <w:tc>
          <w:tcPr>
            <w:tcW w:w="522" w:type="dxa"/>
            <w:vAlign w:val="center"/>
          </w:tcPr>
          <w:p w14:paraId="31125F6D" w14:textId="77777777" w:rsidR="00360E2B" w:rsidRPr="00360E2B" w:rsidRDefault="00360E2B" w:rsidP="00CC6261">
            <w:pPr>
              <w:jc w:val="center"/>
              <w:rPr>
                <w:rFonts w:ascii="Arial" w:hAnsi="Arial" w:cs="Arial"/>
                <w:sz w:val="22"/>
                <w:szCs w:val="22"/>
              </w:rPr>
            </w:pPr>
          </w:p>
        </w:tc>
        <w:tc>
          <w:tcPr>
            <w:tcW w:w="631" w:type="dxa"/>
            <w:vAlign w:val="center"/>
          </w:tcPr>
          <w:p w14:paraId="28E3985D" w14:textId="77777777" w:rsidR="00360E2B" w:rsidRPr="00360E2B" w:rsidRDefault="00360E2B" w:rsidP="00CC6261">
            <w:pPr>
              <w:jc w:val="center"/>
              <w:rPr>
                <w:rFonts w:ascii="Arial" w:hAnsi="Arial" w:cs="Arial"/>
                <w:sz w:val="22"/>
                <w:szCs w:val="22"/>
              </w:rPr>
            </w:pPr>
          </w:p>
        </w:tc>
        <w:tc>
          <w:tcPr>
            <w:tcW w:w="547" w:type="dxa"/>
            <w:vAlign w:val="center"/>
          </w:tcPr>
          <w:p w14:paraId="3E58F15D" w14:textId="77777777" w:rsidR="00360E2B" w:rsidRPr="00360E2B" w:rsidRDefault="00360E2B" w:rsidP="00CC6261">
            <w:pPr>
              <w:jc w:val="center"/>
              <w:rPr>
                <w:rFonts w:ascii="Arial" w:hAnsi="Arial" w:cs="Arial"/>
                <w:sz w:val="22"/>
                <w:szCs w:val="22"/>
              </w:rPr>
            </w:pPr>
          </w:p>
        </w:tc>
        <w:tc>
          <w:tcPr>
            <w:tcW w:w="583" w:type="dxa"/>
            <w:vAlign w:val="center"/>
          </w:tcPr>
          <w:p w14:paraId="753064DC" w14:textId="77777777" w:rsidR="00360E2B" w:rsidRPr="00360E2B" w:rsidRDefault="00360E2B" w:rsidP="00CC6261">
            <w:pPr>
              <w:jc w:val="center"/>
              <w:rPr>
                <w:rFonts w:ascii="Arial" w:hAnsi="Arial" w:cs="Arial"/>
                <w:sz w:val="22"/>
                <w:szCs w:val="22"/>
              </w:rPr>
            </w:pPr>
          </w:p>
        </w:tc>
        <w:tc>
          <w:tcPr>
            <w:tcW w:w="596" w:type="dxa"/>
            <w:vAlign w:val="center"/>
          </w:tcPr>
          <w:p w14:paraId="5C9A3139" w14:textId="77777777" w:rsidR="00360E2B" w:rsidRPr="00360E2B" w:rsidRDefault="00360E2B" w:rsidP="00CC6261">
            <w:pPr>
              <w:jc w:val="center"/>
              <w:rPr>
                <w:rFonts w:ascii="Arial" w:hAnsi="Arial" w:cs="Arial"/>
                <w:sz w:val="22"/>
                <w:szCs w:val="22"/>
              </w:rPr>
            </w:pPr>
          </w:p>
        </w:tc>
      </w:tr>
      <w:tr w:rsidR="00360E2B" w:rsidRPr="00360E2B" w14:paraId="3059A67F" w14:textId="77777777" w:rsidTr="00360E2B">
        <w:trPr>
          <w:trHeight w:val="354"/>
          <w:jc w:val="center"/>
        </w:trPr>
        <w:tc>
          <w:tcPr>
            <w:tcW w:w="3655" w:type="dxa"/>
            <w:vAlign w:val="center"/>
          </w:tcPr>
          <w:p w14:paraId="3C4F7340" w14:textId="77777777" w:rsidR="00360E2B" w:rsidRPr="00360E2B" w:rsidRDefault="00360E2B" w:rsidP="00CC6261">
            <w:pPr>
              <w:rPr>
                <w:rFonts w:ascii="Arial" w:hAnsi="Arial" w:cs="Arial"/>
                <w:sz w:val="22"/>
                <w:szCs w:val="22"/>
              </w:rPr>
            </w:pPr>
            <w:r w:rsidRPr="00360E2B">
              <w:rPr>
                <w:rFonts w:ascii="Arial" w:hAnsi="Arial" w:cs="Arial"/>
                <w:sz w:val="22"/>
                <w:szCs w:val="22"/>
              </w:rPr>
              <w:t>Coleta e preparação dos dados</w:t>
            </w:r>
          </w:p>
        </w:tc>
        <w:tc>
          <w:tcPr>
            <w:tcW w:w="596" w:type="dxa"/>
            <w:vAlign w:val="center"/>
          </w:tcPr>
          <w:p w14:paraId="4F053F6E" w14:textId="77777777" w:rsidR="00360E2B" w:rsidRPr="00360E2B" w:rsidRDefault="00360E2B" w:rsidP="00CC6261">
            <w:pPr>
              <w:jc w:val="center"/>
              <w:rPr>
                <w:rFonts w:ascii="Arial" w:hAnsi="Arial" w:cs="Arial"/>
                <w:sz w:val="22"/>
                <w:szCs w:val="22"/>
              </w:rPr>
            </w:pPr>
          </w:p>
        </w:tc>
        <w:tc>
          <w:tcPr>
            <w:tcW w:w="583" w:type="dxa"/>
            <w:vAlign w:val="center"/>
          </w:tcPr>
          <w:p w14:paraId="175F4F5B"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71" w:type="dxa"/>
            <w:vAlign w:val="center"/>
          </w:tcPr>
          <w:p w14:paraId="3E741B38" w14:textId="77777777" w:rsidR="00360E2B" w:rsidRPr="00360E2B" w:rsidRDefault="00360E2B" w:rsidP="00CC6261">
            <w:pPr>
              <w:jc w:val="center"/>
              <w:rPr>
                <w:rFonts w:ascii="Arial" w:hAnsi="Arial" w:cs="Arial"/>
                <w:sz w:val="22"/>
                <w:szCs w:val="22"/>
              </w:rPr>
            </w:pPr>
          </w:p>
        </w:tc>
        <w:tc>
          <w:tcPr>
            <w:tcW w:w="596" w:type="dxa"/>
            <w:vAlign w:val="center"/>
          </w:tcPr>
          <w:p w14:paraId="0744FFED" w14:textId="77777777" w:rsidR="00360E2B" w:rsidRPr="00360E2B" w:rsidRDefault="00360E2B" w:rsidP="00CC6261">
            <w:pPr>
              <w:jc w:val="center"/>
              <w:rPr>
                <w:rFonts w:ascii="Arial" w:hAnsi="Arial" w:cs="Arial"/>
                <w:sz w:val="22"/>
                <w:szCs w:val="22"/>
              </w:rPr>
            </w:pPr>
          </w:p>
        </w:tc>
        <w:tc>
          <w:tcPr>
            <w:tcW w:w="522" w:type="dxa"/>
            <w:vAlign w:val="center"/>
          </w:tcPr>
          <w:p w14:paraId="7D1ACCA2" w14:textId="77777777" w:rsidR="00360E2B" w:rsidRPr="00360E2B" w:rsidRDefault="00360E2B" w:rsidP="00CC6261">
            <w:pPr>
              <w:jc w:val="center"/>
              <w:rPr>
                <w:rFonts w:ascii="Arial" w:hAnsi="Arial" w:cs="Arial"/>
                <w:sz w:val="22"/>
                <w:szCs w:val="22"/>
              </w:rPr>
            </w:pPr>
          </w:p>
        </w:tc>
        <w:tc>
          <w:tcPr>
            <w:tcW w:w="631" w:type="dxa"/>
            <w:vAlign w:val="center"/>
          </w:tcPr>
          <w:p w14:paraId="08296322" w14:textId="77777777" w:rsidR="00360E2B" w:rsidRPr="00360E2B" w:rsidRDefault="00360E2B" w:rsidP="00CC6261">
            <w:pPr>
              <w:jc w:val="center"/>
              <w:rPr>
                <w:rFonts w:ascii="Arial" w:hAnsi="Arial" w:cs="Arial"/>
                <w:sz w:val="22"/>
                <w:szCs w:val="22"/>
              </w:rPr>
            </w:pPr>
          </w:p>
        </w:tc>
        <w:tc>
          <w:tcPr>
            <w:tcW w:w="547" w:type="dxa"/>
            <w:vAlign w:val="center"/>
          </w:tcPr>
          <w:p w14:paraId="36CCC1A1" w14:textId="77777777" w:rsidR="00360E2B" w:rsidRPr="00360E2B" w:rsidRDefault="00360E2B" w:rsidP="00CC6261">
            <w:pPr>
              <w:jc w:val="center"/>
              <w:rPr>
                <w:rFonts w:ascii="Arial" w:hAnsi="Arial" w:cs="Arial"/>
                <w:sz w:val="22"/>
                <w:szCs w:val="22"/>
              </w:rPr>
            </w:pPr>
          </w:p>
        </w:tc>
        <w:tc>
          <w:tcPr>
            <w:tcW w:w="583" w:type="dxa"/>
            <w:vAlign w:val="center"/>
          </w:tcPr>
          <w:p w14:paraId="682D12C1" w14:textId="77777777" w:rsidR="00360E2B" w:rsidRPr="00360E2B" w:rsidRDefault="00360E2B" w:rsidP="00CC6261">
            <w:pPr>
              <w:jc w:val="center"/>
              <w:rPr>
                <w:rFonts w:ascii="Arial" w:hAnsi="Arial" w:cs="Arial"/>
                <w:sz w:val="22"/>
                <w:szCs w:val="22"/>
              </w:rPr>
            </w:pPr>
          </w:p>
        </w:tc>
        <w:tc>
          <w:tcPr>
            <w:tcW w:w="596" w:type="dxa"/>
            <w:vAlign w:val="center"/>
          </w:tcPr>
          <w:p w14:paraId="24356B14" w14:textId="77777777" w:rsidR="00360E2B" w:rsidRPr="00360E2B" w:rsidRDefault="00360E2B" w:rsidP="00CC6261">
            <w:pPr>
              <w:jc w:val="center"/>
              <w:rPr>
                <w:rFonts w:ascii="Arial" w:hAnsi="Arial" w:cs="Arial"/>
                <w:sz w:val="22"/>
                <w:szCs w:val="22"/>
              </w:rPr>
            </w:pPr>
          </w:p>
        </w:tc>
      </w:tr>
      <w:tr w:rsidR="00360E2B" w:rsidRPr="00360E2B" w14:paraId="4302767E" w14:textId="77777777" w:rsidTr="00360E2B">
        <w:trPr>
          <w:trHeight w:val="354"/>
          <w:jc w:val="center"/>
        </w:trPr>
        <w:tc>
          <w:tcPr>
            <w:tcW w:w="3655" w:type="dxa"/>
            <w:vAlign w:val="center"/>
          </w:tcPr>
          <w:p w14:paraId="7A5533DE" w14:textId="77777777" w:rsidR="00360E2B" w:rsidRPr="00360E2B" w:rsidRDefault="00360E2B" w:rsidP="00CC6261">
            <w:pPr>
              <w:rPr>
                <w:rFonts w:ascii="Arial" w:hAnsi="Arial" w:cs="Arial"/>
                <w:sz w:val="22"/>
                <w:szCs w:val="22"/>
              </w:rPr>
            </w:pPr>
            <w:r w:rsidRPr="00360E2B">
              <w:rPr>
                <w:rFonts w:ascii="Arial" w:hAnsi="Arial" w:cs="Arial"/>
                <w:sz w:val="22"/>
                <w:szCs w:val="22"/>
              </w:rPr>
              <w:t>Análise exploratória</w:t>
            </w:r>
          </w:p>
        </w:tc>
        <w:tc>
          <w:tcPr>
            <w:tcW w:w="596" w:type="dxa"/>
            <w:vAlign w:val="center"/>
          </w:tcPr>
          <w:p w14:paraId="31B3D4C5" w14:textId="77777777" w:rsidR="00360E2B" w:rsidRPr="00360E2B" w:rsidRDefault="00360E2B" w:rsidP="00CC6261">
            <w:pPr>
              <w:jc w:val="center"/>
              <w:rPr>
                <w:rFonts w:ascii="Arial" w:hAnsi="Arial" w:cs="Arial"/>
                <w:sz w:val="22"/>
                <w:szCs w:val="22"/>
              </w:rPr>
            </w:pPr>
          </w:p>
        </w:tc>
        <w:tc>
          <w:tcPr>
            <w:tcW w:w="583" w:type="dxa"/>
            <w:vAlign w:val="center"/>
          </w:tcPr>
          <w:p w14:paraId="5AF64CA0"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71" w:type="dxa"/>
            <w:vAlign w:val="center"/>
          </w:tcPr>
          <w:p w14:paraId="35E685C5"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96" w:type="dxa"/>
            <w:vAlign w:val="center"/>
          </w:tcPr>
          <w:p w14:paraId="67A6A2C4" w14:textId="77777777" w:rsidR="00360E2B" w:rsidRPr="00360E2B" w:rsidRDefault="00360E2B" w:rsidP="00CC6261">
            <w:pPr>
              <w:jc w:val="center"/>
              <w:rPr>
                <w:rFonts w:ascii="Arial" w:hAnsi="Arial" w:cs="Arial"/>
                <w:sz w:val="22"/>
                <w:szCs w:val="22"/>
              </w:rPr>
            </w:pPr>
          </w:p>
        </w:tc>
        <w:tc>
          <w:tcPr>
            <w:tcW w:w="522" w:type="dxa"/>
            <w:vAlign w:val="center"/>
          </w:tcPr>
          <w:p w14:paraId="7EBF2EFD" w14:textId="77777777" w:rsidR="00360E2B" w:rsidRPr="00360E2B" w:rsidRDefault="00360E2B" w:rsidP="00CC6261">
            <w:pPr>
              <w:jc w:val="center"/>
              <w:rPr>
                <w:rFonts w:ascii="Arial" w:hAnsi="Arial" w:cs="Arial"/>
                <w:sz w:val="22"/>
                <w:szCs w:val="22"/>
              </w:rPr>
            </w:pPr>
          </w:p>
        </w:tc>
        <w:tc>
          <w:tcPr>
            <w:tcW w:w="631" w:type="dxa"/>
            <w:vAlign w:val="center"/>
          </w:tcPr>
          <w:p w14:paraId="077A8E6F" w14:textId="77777777" w:rsidR="00360E2B" w:rsidRPr="00360E2B" w:rsidRDefault="00360E2B" w:rsidP="00CC6261">
            <w:pPr>
              <w:jc w:val="center"/>
              <w:rPr>
                <w:rFonts w:ascii="Arial" w:hAnsi="Arial" w:cs="Arial"/>
                <w:sz w:val="22"/>
                <w:szCs w:val="22"/>
              </w:rPr>
            </w:pPr>
          </w:p>
        </w:tc>
        <w:tc>
          <w:tcPr>
            <w:tcW w:w="547" w:type="dxa"/>
            <w:vAlign w:val="center"/>
          </w:tcPr>
          <w:p w14:paraId="03B6E8CF" w14:textId="77777777" w:rsidR="00360E2B" w:rsidRPr="00360E2B" w:rsidRDefault="00360E2B" w:rsidP="00CC6261">
            <w:pPr>
              <w:jc w:val="center"/>
              <w:rPr>
                <w:rFonts w:ascii="Arial" w:hAnsi="Arial" w:cs="Arial"/>
                <w:sz w:val="22"/>
                <w:szCs w:val="22"/>
              </w:rPr>
            </w:pPr>
          </w:p>
        </w:tc>
        <w:tc>
          <w:tcPr>
            <w:tcW w:w="583" w:type="dxa"/>
            <w:vAlign w:val="center"/>
          </w:tcPr>
          <w:p w14:paraId="1B0DEE52" w14:textId="77777777" w:rsidR="00360E2B" w:rsidRPr="00360E2B" w:rsidRDefault="00360E2B" w:rsidP="00CC6261">
            <w:pPr>
              <w:jc w:val="center"/>
              <w:rPr>
                <w:rFonts w:ascii="Arial" w:hAnsi="Arial" w:cs="Arial"/>
                <w:sz w:val="22"/>
                <w:szCs w:val="22"/>
              </w:rPr>
            </w:pPr>
          </w:p>
        </w:tc>
        <w:tc>
          <w:tcPr>
            <w:tcW w:w="596" w:type="dxa"/>
            <w:vAlign w:val="center"/>
          </w:tcPr>
          <w:p w14:paraId="007C7E35" w14:textId="77777777" w:rsidR="00360E2B" w:rsidRPr="00360E2B" w:rsidRDefault="00360E2B" w:rsidP="00CC6261">
            <w:pPr>
              <w:jc w:val="center"/>
              <w:rPr>
                <w:rFonts w:ascii="Arial" w:hAnsi="Arial" w:cs="Arial"/>
                <w:sz w:val="22"/>
                <w:szCs w:val="22"/>
              </w:rPr>
            </w:pPr>
          </w:p>
        </w:tc>
      </w:tr>
      <w:tr w:rsidR="00360E2B" w:rsidRPr="00360E2B" w14:paraId="5059C500" w14:textId="77777777" w:rsidTr="00360E2B">
        <w:trPr>
          <w:trHeight w:val="354"/>
          <w:jc w:val="center"/>
        </w:trPr>
        <w:tc>
          <w:tcPr>
            <w:tcW w:w="3655" w:type="dxa"/>
            <w:vAlign w:val="center"/>
          </w:tcPr>
          <w:p w14:paraId="5088A54D" w14:textId="77777777" w:rsidR="00360E2B" w:rsidRPr="00360E2B" w:rsidRDefault="00360E2B" w:rsidP="00CC6261">
            <w:pPr>
              <w:rPr>
                <w:rFonts w:ascii="Arial" w:hAnsi="Arial" w:cs="Arial"/>
                <w:sz w:val="22"/>
                <w:szCs w:val="22"/>
              </w:rPr>
            </w:pPr>
            <w:r w:rsidRPr="00360E2B">
              <w:rPr>
                <w:rFonts w:ascii="Arial" w:hAnsi="Arial" w:cs="Arial"/>
                <w:sz w:val="22"/>
                <w:szCs w:val="22"/>
              </w:rPr>
              <w:t>Modelagem estatística</w:t>
            </w:r>
          </w:p>
        </w:tc>
        <w:tc>
          <w:tcPr>
            <w:tcW w:w="596" w:type="dxa"/>
            <w:vAlign w:val="center"/>
          </w:tcPr>
          <w:p w14:paraId="253A6500" w14:textId="77777777" w:rsidR="00360E2B" w:rsidRPr="00360E2B" w:rsidRDefault="00360E2B" w:rsidP="00CC6261">
            <w:pPr>
              <w:jc w:val="center"/>
              <w:rPr>
                <w:rFonts w:ascii="Arial" w:hAnsi="Arial" w:cs="Arial"/>
                <w:sz w:val="22"/>
                <w:szCs w:val="22"/>
              </w:rPr>
            </w:pPr>
          </w:p>
        </w:tc>
        <w:tc>
          <w:tcPr>
            <w:tcW w:w="583" w:type="dxa"/>
            <w:vAlign w:val="center"/>
          </w:tcPr>
          <w:p w14:paraId="4C41654D" w14:textId="77777777" w:rsidR="00360E2B" w:rsidRPr="00360E2B" w:rsidRDefault="00360E2B" w:rsidP="00CC6261">
            <w:pPr>
              <w:jc w:val="center"/>
              <w:rPr>
                <w:rFonts w:ascii="Arial" w:hAnsi="Arial" w:cs="Arial"/>
                <w:sz w:val="22"/>
                <w:szCs w:val="22"/>
              </w:rPr>
            </w:pPr>
          </w:p>
        </w:tc>
        <w:tc>
          <w:tcPr>
            <w:tcW w:w="571" w:type="dxa"/>
            <w:vAlign w:val="center"/>
          </w:tcPr>
          <w:p w14:paraId="03D80C93"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96" w:type="dxa"/>
            <w:vAlign w:val="center"/>
          </w:tcPr>
          <w:p w14:paraId="12670F77"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522" w:type="dxa"/>
            <w:vAlign w:val="center"/>
          </w:tcPr>
          <w:p w14:paraId="16C8F437" w14:textId="77777777" w:rsidR="00360E2B" w:rsidRPr="00360E2B" w:rsidRDefault="00360E2B" w:rsidP="00CC6261">
            <w:pPr>
              <w:jc w:val="center"/>
              <w:rPr>
                <w:rFonts w:ascii="Arial" w:hAnsi="Arial" w:cs="Arial"/>
                <w:sz w:val="22"/>
                <w:szCs w:val="22"/>
              </w:rPr>
            </w:pPr>
          </w:p>
        </w:tc>
        <w:tc>
          <w:tcPr>
            <w:tcW w:w="631" w:type="dxa"/>
            <w:vAlign w:val="center"/>
          </w:tcPr>
          <w:p w14:paraId="364DAD5C" w14:textId="77777777" w:rsidR="00360E2B" w:rsidRPr="00360E2B" w:rsidRDefault="00360E2B" w:rsidP="00CC6261">
            <w:pPr>
              <w:jc w:val="center"/>
              <w:rPr>
                <w:rFonts w:ascii="Arial" w:hAnsi="Arial" w:cs="Arial"/>
                <w:sz w:val="22"/>
                <w:szCs w:val="22"/>
              </w:rPr>
            </w:pPr>
          </w:p>
        </w:tc>
        <w:tc>
          <w:tcPr>
            <w:tcW w:w="547" w:type="dxa"/>
            <w:vAlign w:val="center"/>
          </w:tcPr>
          <w:p w14:paraId="5D0071EB" w14:textId="77777777" w:rsidR="00360E2B" w:rsidRPr="00360E2B" w:rsidRDefault="00360E2B" w:rsidP="00CC6261">
            <w:pPr>
              <w:jc w:val="center"/>
              <w:rPr>
                <w:rFonts w:ascii="Arial" w:hAnsi="Arial" w:cs="Arial"/>
                <w:sz w:val="22"/>
                <w:szCs w:val="22"/>
              </w:rPr>
            </w:pPr>
          </w:p>
        </w:tc>
        <w:tc>
          <w:tcPr>
            <w:tcW w:w="583" w:type="dxa"/>
            <w:vAlign w:val="center"/>
          </w:tcPr>
          <w:p w14:paraId="751F39DB" w14:textId="77777777" w:rsidR="00360E2B" w:rsidRPr="00360E2B" w:rsidRDefault="00360E2B" w:rsidP="00CC6261">
            <w:pPr>
              <w:jc w:val="center"/>
              <w:rPr>
                <w:rFonts w:ascii="Arial" w:hAnsi="Arial" w:cs="Arial"/>
                <w:sz w:val="22"/>
                <w:szCs w:val="22"/>
              </w:rPr>
            </w:pPr>
          </w:p>
        </w:tc>
        <w:tc>
          <w:tcPr>
            <w:tcW w:w="596" w:type="dxa"/>
            <w:vAlign w:val="center"/>
          </w:tcPr>
          <w:p w14:paraId="49FB7F91" w14:textId="77777777" w:rsidR="00360E2B" w:rsidRPr="00360E2B" w:rsidRDefault="00360E2B" w:rsidP="00CC6261">
            <w:pPr>
              <w:jc w:val="center"/>
              <w:rPr>
                <w:rFonts w:ascii="Arial" w:hAnsi="Arial" w:cs="Arial"/>
                <w:sz w:val="22"/>
                <w:szCs w:val="22"/>
              </w:rPr>
            </w:pPr>
          </w:p>
        </w:tc>
      </w:tr>
      <w:tr w:rsidR="00360E2B" w:rsidRPr="00360E2B" w14:paraId="272B128A" w14:textId="77777777" w:rsidTr="00360E2B">
        <w:trPr>
          <w:trHeight w:val="354"/>
          <w:jc w:val="center"/>
        </w:trPr>
        <w:tc>
          <w:tcPr>
            <w:tcW w:w="3655" w:type="dxa"/>
            <w:vAlign w:val="center"/>
          </w:tcPr>
          <w:p w14:paraId="1EE77D59" w14:textId="77777777" w:rsidR="00360E2B" w:rsidRPr="00360E2B" w:rsidRDefault="00360E2B" w:rsidP="00CC6261">
            <w:pPr>
              <w:rPr>
                <w:rFonts w:ascii="Arial" w:hAnsi="Arial" w:cs="Arial"/>
                <w:sz w:val="22"/>
                <w:szCs w:val="22"/>
              </w:rPr>
            </w:pPr>
            <w:r w:rsidRPr="00360E2B">
              <w:rPr>
                <w:rFonts w:ascii="Arial" w:hAnsi="Arial" w:cs="Arial"/>
                <w:sz w:val="22"/>
                <w:szCs w:val="22"/>
              </w:rPr>
              <w:t>Entrega: Resultados Preliminares</w:t>
            </w:r>
          </w:p>
        </w:tc>
        <w:tc>
          <w:tcPr>
            <w:tcW w:w="596" w:type="dxa"/>
            <w:vAlign w:val="center"/>
          </w:tcPr>
          <w:p w14:paraId="31C08BD6" w14:textId="77777777" w:rsidR="00360E2B" w:rsidRPr="00360E2B" w:rsidRDefault="00360E2B" w:rsidP="00CC6261">
            <w:pPr>
              <w:jc w:val="center"/>
              <w:rPr>
                <w:rFonts w:ascii="Arial" w:hAnsi="Arial" w:cs="Arial"/>
                <w:sz w:val="22"/>
                <w:szCs w:val="22"/>
              </w:rPr>
            </w:pPr>
          </w:p>
        </w:tc>
        <w:tc>
          <w:tcPr>
            <w:tcW w:w="583" w:type="dxa"/>
            <w:vAlign w:val="center"/>
          </w:tcPr>
          <w:p w14:paraId="42C155AD" w14:textId="77777777" w:rsidR="00360E2B" w:rsidRPr="00360E2B" w:rsidRDefault="00360E2B" w:rsidP="00CC6261">
            <w:pPr>
              <w:jc w:val="center"/>
              <w:rPr>
                <w:rFonts w:ascii="Arial" w:hAnsi="Arial" w:cs="Arial"/>
                <w:sz w:val="22"/>
                <w:szCs w:val="22"/>
              </w:rPr>
            </w:pPr>
          </w:p>
        </w:tc>
        <w:tc>
          <w:tcPr>
            <w:tcW w:w="571" w:type="dxa"/>
            <w:vAlign w:val="center"/>
          </w:tcPr>
          <w:p w14:paraId="0E00ABE3" w14:textId="77777777" w:rsidR="00360E2B" w:rsidRPr="00360E2B" w:rsidRDefault="00360E2B" w:rsidP="00CC6261">
            <w:pPr>
              <w:jc w:val="center"/>
              <w:rPr>
                <w:rFonts w:ascii="Arial" w:hAnsi="Arial" w:cs="Arial"/>
                <w:sz w:val="22"/>
                <w:szCs w:val="22"/>
              </w:rPr>
            </w:pPr>
          </w:p>
        </w:tc>
        <w:tc>
          <w:tcPr>
            <w:tcW w:w="596" w:type="dxa"/>
            <w:vAlign w:val="center"/>
          </w:tcPr>
          <w:p w14:paraId="4ACED55E" w14:textId="3A0C53D1"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522" w:type="dxa"/>
            <w:vAlign w:val="center"/>
          </w:tcPr>
          <w:p w14:paraId="7BDC4FEF" w14:textId="20F98CFC"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631" w:type="dxa"/>
            <w:vAlign w:val="center"/>
          </w:tcPr>
          <w:p w14:paraId="4DF38D64" w14:textId="77777777" w:rsidR="00360E2B" w:rsidRPr="00360E2B" w:rsidRDefault="00360E2B" w:rsidP="00CC6261">
            <w:pPr>
              <w:jc w:val="center"/>
              <w:rPr>
                <w:rFonts w:ascii="Arial" w:hAnsi="Arial" w:cs="Arial"/>
                <w:sz w:val="22"/>
                <w:szCs w:val="22"/>
              </w:rPr>
            </w:pPr>
          </w:p>
        </w:tc>
        <w:tc>
          <w:tcPr>
            <w:tcW w:w="547" w:type="dxa"/>
            <w:vAlign w:val="center"/>
          </w:tcPr>
          <w:p w14:paraId="1384220D" w14:textId="77777777" w:rsidR="00360E2B" w:rsidRPr="00360E2B" w:rsidRDefault="00360E2B" w:rsidP="00CC6261">
            <w:pPr>
              <w:jc w:val="center"/>
              <w:rPr>
                <w:rFonts w:ascii="Arial" w:hAnsi="Arial" w:cs="Arial"/>
                <w:sz w:val="22"/>
                <w:szCs w:val="22"/>
              </w:rPr>
            </w:pPr>
          </w:p>
        </w:tc>
        <w:tc>
          <w:tcPr>
            <w:tcW w:w="583" w:type="dxa"/>
            <w:vAlign w:val="center"/>
          </w:tcPr>
          <w:p w14:paraId="4F1B15B4" w14:textId="77777777" w:rsidR="00360E2B" w:rsidRPr="00360E2B" w:rsidRDefault="00360E2B" w:rsidP="00CC6261">
            <w:pPr>
              <w:jc w:val="center"/>
              <w:rPr>
                <w:rFonts w:ascii="Arial" w:hAnsi="Arial" w:cs="Arial"/>
                <w:sz w:val="22"/>
                <w:szCs w:val="22"/>
              </w:rPr>
            </w:pPr>
          </w:p>
        </w:tc>
        <w:tc>
          <w:tcPr>
            <w:tcW w:w="596" w:type="dxa"/>
            <w:vAlign w:val="center"/>
          </w:tcPr>
          <w:p w14:paraId="5D1C7115" w14:textId="77777777" w:rsidR="00360E2B" w:rsidRPr="00360E2B" w:rsidRDefault="00360E2B" w:rsidP="00CC6261">
            <w:pPr>
              <w:jc w:val="center"/>
              <w:rPr>
                <w:rFonts w:ascii="Arial" w:hAnsi="Arial" w:cs="Arial"/>
                <w:sz w:val="22"/>
                <w:szCs w:val="22"/>
              </w:rPr>
            </w:pPr>
          </w:p>
        </w:tc>
      </w:tr>
      <w:tr w:rsidR="00360E2B" w:rsidRPr="00360E2B" w14:paraId="0766E345" w14:textId="77777777" w:rsidTr="00360E2B">
        <w:trPr>
          <w:trHeight w:val="354"/>
          <w:jc w:val="center"/>
        </w:trPr>
        <w:tc>
          <w:tcPr>
            <w:tcW w:w="3655" w:type="dxa"/>
            <w:vAlign w:val="center"/>
          </w:tcPr>
          <w:p w14:paraId="3A72FECA" w14:textId="77777777" w:rsidR="00360E2B" w:rsidRPr="00360E2B" w:rsidRDefault="00360E2B" w:rsidP="00CC6261">
            <w:pPr>
              <w:rPr>
                <w:rFonts w:ascii="Arial" w:hAnsi="Arial" w:cs="Arial"/>
                <w:sz w:val="22"/>
                <w:szCs w:val="22"/>
              </w:rPr>
            </w:pPr>
            <w:r w:rsidRPr="00360E2B">
              <w:rPr>
                <w:rFonts w:ascii="Arial" w:hAnsi="Arial" w:cs="Arial"/>
                <w:sz w:val="22"/>
                <w:szCs w:val="22"/>
              </w:rPr>
              <w:t>Redação do TCC</w:t>
            </w:r>
          </w:p>
        </w:tc>
        <w:tc>
          <w:tcPr>
            <w:tcW w:w="596" w:type="dxa"/>
            <w:vAlign w:val="center"/>
          </w:tcPr>
          <w:p w14:paraId="68A5703C" w14:textId="77777777" w:rsidR="00360E2B" w:rsidRPr="00360E2B" w:rsidRDefault="00360E2B" w:rsidP="00CC6261">
            <w:pPr>
              <w:jc w:val="center"/>
              <w:rPr>
                <w:rFonts w:ascii="Arial" w:hAnsi="Arial" w:cs="Arial"/>
                <w:sz w:val="22"/>
                <w:szCs w:val="22"/>
              </w:rPr>
            </w:pPr>
          </w:p>
        </w:tc>
        <w:tc>
          <w:tcPr>
            <w:tcW w:w="583" w:type="dxa"/>
            <w:vAlign w:val="center"/>
          </w:tcPr>
          <w:p w14:paraId="2DCF9A5F" w14:textId="77777777" w:rsidR="00360E2B" w:rsidRPr="00360E2B" w:rsidRDefault="00360E2B" w:rsidP="00CC6261">
            <w:pPr>
              <w:jc w:val="center"/>
              <w:rPr>
                <w:rFonts w:ascii="Arial" w:hAnsi="Arial" w:cs="Arial"/>
                <w:sz w:val="22"/>
                <w:szCs w:val="22"/>
              </w:rPr>
            </w:pPr>
          </w:p>
        </w:tc>
        <w:tc>
          <w:tcPr>
            <w:tcW w:w="571" w:type="dxa"/>
            <w:vAlign w:val="center"/>
          </w:tcPr>
          <w:p w14:paraId="1061E98F" w14:textId="77777777" w:rsidR="00360E2B" w:rsidRPr="00360E2B" w:rsidRDefault="00360E2B" w:rsidP="00CC6261">
            <w:pPr>
              <w:jc w:val="center"/>
              <w:rPr>
                <w:rFonts w:ascii="Arial" w:hAnsi="Arial" w:cs="Arial"/>
                <w:sz w:val="22"/>
                <w:szCs w:val="22"/>
              </w:rPr>
            </w:pPr>
          </w:p>
        </w:tc>
        <w:tc>
          <w:tcPr>
            <w:tcW w:w="596" w:type="dxa"/>
            <w:vAlign w:val="center"/>
          </w:tcPr>
          <w:p w14:paraId="1749CB86" w14:textId="77777777" w:rsidR="00360E2B" w:rsidRPr="00360E2B" w:rsidRDefault="00360E2B" w:rsidP="00CC6261">
            <w:pPr>
              <w:jc w:val="center"/>
              <w:rPr>
                <w:rFonts w:ascii="Arial" w:hAnsi="Arial" w:cs="Arial"/>
                <w:sz w:val="22"/>
                <w:szCs w:val="22"/>
              </w:rPr>
            </w:pPr>
          </w:p>
        </w:tc>
        <w:tc>
          <w:tcPr>
            <w:tcW w:w="522" w:type="dxa"/>
            <w:vAlign w:val="center"/>
          </w:tcPr>
          <w:p w14:paraId="05118C7B" w14:textId="77777777" w:rsidR="00360E2B" w:rsidRPr="00360E2B" w:rsidRDefault="00360E2B" w:rsidP="00CC6261">
            <w:pPr>
              <w:jc w:val="center"/>
              <w:rPr>
                <w:rFonts w:ascii="Arial" w:hAnsi="Arial" w:cs="Arial"/>
                <w:sz w:val="22"/>
                <w:szCs w:val="22"/>
              </w:rPr>
            </w:pPr>
            <w:r w:rsidRPr="00360E2B">
              <w:rPr>
                <w:rFonts w:ascii="Arial" w:hAnsi="Arial" w:cs="Arial"/>
                <w:sz w:val="22"/>
                <w:szCs w:val="22"/>
              </w:rPr>
              <w:t>X</w:t>
            </w:r>
          </w:p>
        </w:tc>
        <w:tc>
          <w:tcPr>
            <w:tcW w:w="631" w:type="dxa"/>
            <w:vAlign w:val="center"/>
          </w:tcPr>
          <w:p w14:paraId="0D46F206" w14:textId="0E801D0B"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547" w:type="dxa"/>
            <w:vAlign w:val="center"/>
          </w:tcPr>
          <w:p w14:paraId="75BF9184" w14:textId="2E53ED8F"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583" w:type="dxa"/>
            <w:vAlign w:val="center"/>
          </w:tcPr>
          <w:p w14:paraId="513E5DC7" w14:textId="77777777" w:rsidR="00360E2B" w:rsidRPr="00360E2B" w:rsidRDefault="00360E2B" w:rsidP="00CC6261">
            <w:pPr>
              <w:jc w:val="center"/>
              <w:rPr>
                <w:rFonts w:ascii="Arial" w:hAnsi="Arial" w:cs="Arial"/>
                <w:sz w:val="22"/>
                <w:szCs w:val="22"/>
              </w:rPr>
            </w:pPr>
          </w:p>
        </w:tc>
        <w:tc>
          <w:tcPr>
            <w:tcW w:w="596" w:type="dxa"/>
            <w:vAlign w:val="center"/>
          </w:tcPr>
          <w:p w14:paraId="60A079A0" w14:textId="77777777" w:rsidR="00360E2B" w:rsidRPr="00360E2B" w:rsidRDefault="00360E2B" w:rsidP="00CC6261">
            <w:pPr>
              <w:jc w:val="center"/>
              <w:rPr>
                <w:rFonts w:ascii="Arial" w:hAnsi="Arial" w:cs="Arial"/>
                <w:sz w:val="22"/>
                <w:szCs w:val="22"/>
              </w:rPr>
            </w:pPr>
          </w:p>
        </w:tc>
      </w:tr>
      <w:tr w:rsidR="00360E2B" w:rsidRPr="00360E2B" w14:paraId="0A48AF56" w14:textId="77777777" w:rsidTr="00360E2B">
        <w:trPr>
          <w:trHeight w:val="354"/>
          <w:jc w:val="center"/>
        </w:trPr>
        <w:tc>
          <w:tcPr>
            <w:tcW w:w="3655" w:type="dxa"/>
            <w:vAlign w:val="center"/>
          </w:tcPr>
          <w:p w14:paraId="11297003" w14:textId="77777777" w:rsidR="00360E2B" w:rsidRPr="00360E2B" w:rsidRDefault="00360E2B" w:rsidP="00CC6261">
            <w:pPr>
              <w:rPr>
                <w:rFonts w:ascii="Arial" w:hAnsi="Arial" w:cs="Arial"/>
                <w:sz w:val="22"/>
                <w:szCs w:val="22"/>
              </w:rPr>
            </w:pPr>
            <w:r w:rsidRPr="00360E2B">
              <w:rPr>
                <w:rFonts w:ascii="Arial" w:hAnsi="Arial" w:cs="Arial"/>
                <w:sz w:val="22"/>
                <w:szCs w:val="22"/>
              </w:rPr>
              <w:t>Revisão e entrega final do TCC</w:t>
            </w:r>
          </w:p>
        </w:tc>
        <w:tc>
          <w:tcPr>
            <w:tcW w:w="596" w:type="dxa"/>
            <w:vAlign w:val="center"/>
          </w:tcPr>
          <w:p w14:paraId="7DBAE16D" w14:textId="77777777" w:rsidR="00360E2B" w:rsidRPr="00360E2B" w:rsidRDefault="00360E2B" w:rsidP="00CC6261">
            <w:pPr>
              <w:jc w:val="center"/>
              <w:rPr>
                <w:rFonts w:ascii="Arial" w:hAnsi="Arial" w:cs="Arial"/>
                <w:sz w:val="22"/>
                <w:szCs w:val="22"/>
              </w:rPr>
            </w:pPr>
          </w:p>
        </w:tc>
        <w:tc>
          <w:tcPr>
            <w:tcW w:w="583" w:type="dxa"/>
            <w:vAlign w:val="center"/>
          </w:tcPr>
          <w:p w14:paraId="05671799" w14:textId="77777777" w:rsidR="00360E2B" w:rsidRPr="00360E2B" w:rsidRDefault="00360E2B" w:rsidP="00CC6261">
            <w:pPr>
              <w:jc w:val="center"/>
              <w:rPr>
                <w:rFonts w:ascii="Arial" w:hAnsi="Arial" w:cs="Arial"/>
                <w:sz w:val="22"/>
                <w:szCs w:val="22"/>
              </w:rPr>
            </w:pPr>
          </w:p>
        </w:tc>
        <w:tc>
          <w:tcPr>
            <w:tcW w:w="571" w:type="dxa"/>
            <w:vAlign w:val="center"/>
          </w:tcPr>
          <w:p w14:paraId="5F010BF1" w14:textId="77777777" w:rsidR="00360E2B" w:rsidRPr="00360E2B" w:rsidRDefault="00360E2B" w:rsidP="00CC6261">
            <w:pPr>
              <w:jc w:val="center"/>
              <w:rPr>
                <w:rFonts w:ascii="Arial" w:hAnsi="Arial" w:cs="Arial"/>
                <w:sz w:val="22"/>
                <w:szCs w:val="22"/>
              </w:rPr>
            </w:pPr>
          </w:p>
        </w:tc>
        <w:tc>
          <w:tcPr>
            <w:tcW w:w="596" w:type="dxa"/>
            <w:vAlign w:val="center"/>
          </w:tcPr>
          <w:p w14:paraId="463401B4" w14:textId="77777777" w:rsidR="00360E2B" w:rsidRPr="00360E2B" w:rsidRDefault="00360E2B" w:rsidP="00CC6261">
            <w:pPr>
              <w:jc w:val="center"/>
              <w:rPr>
                <w:rFonts w:ascii="Arial" w:hAnsi="Arial" w:cs="Arial"/>
                <w:sz w:val="22"/>
                <w:szCs w:val="22"/>
              </w:rPr>
            </w:pPr>
          </w:p>
        </w:tc>
        <w:tc>
          <w:tcPr>
            <w:tcW w:w="522" w:type="dxa"/>
            <w:vAlign w:val="center"/>
          </w:tcPr>
          <w:p w14:paraId="54323879" w14:textId="77777777" w:rsidR="00360E2B" w:rsidRPr="00360E2B" w:rsidRDefault="00360E2B" w:rsidP="00CC6261">
            <w:pPr>
              <w:jc w:val="center"/>
              <w:rPr>
                <w:rFonts w:ascii="Arial" w:hAnsi="Arial" w:cs="Arial"/>
                <w:sz w:val="22"/>
                <w:szCs w:val="22"/>
              </w:rPr>
            </w:pPr>
          </w:p>
        </w:tc>
        <w:tc>
          <w:tcPr>
            <w:tcW w:w="631" w:type="dxa"/>
            <w:vAlign w:val="center"/>
          </w:tcPr>
          <w:p w14:paraId="25AD4AE2" w14:textId="77777777" w:rsidR="00360E2B" w:rsidRPr="00360E2B" w:rsidRDefault="00360E2B" w:rsidP="00CC6261">
            <w:pPr>
              <w:jc w:val="center"/>
              <w:rPr>
                <w:rFonts w:ascii="Arial" w:hAnsi="Arial" w:cs="Arial"/>
                <w:sz w:val="22"/>
                <w:szCs w:val="22"/>
              </w:rPr>
            </w:pPr>
          </w:p>
        </w:tc>
        <w:tc>
          <w:tcPr>
            <w:tcW w:w="547" w:type="dxa"/>
            <w:vAlign w:val="center"/>
          </w:tcPr>
          <w:p w14:paraId="041E7A2D" w14:textId="3246E240"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583" w:type="dxa"/>
            <w:vAlign w:val="center"/>
          </w:tcPr>
          <w:p w14:paraId="2041BB0F" w14:textId="32BB4BD3" w:rsidR="00360E2B" w:rsidRPr="00360E2B" w:rsidRDefault="00360E2B" w:rsidP="00CC6261">
            <w:pPr>
              <w:jc w:val="center"/>
              <w:rPr>
                <w:rFonts w:ascii="Arial" w:hAnsi="Arial" w:cs="Arial"/>
                <w:sz w:val="22"/>
                <w:szCs w:val="22"/>
              </w:rPr>
            </w:pPr>
            <w:r>
              <w:rPr>
                <w:rFonts w:ascii="Arial" w:hAnsi="Arial" w:cs="Arial"/>
                <w:sz w:val="22"/>
                <w:szCs w:val="22"/>
              </w:rPr>
              <w:t>X</w:t>
            </w:r>
          </w:p>
        </w:tc>
        <w:tc>
          <w:tcPr>
            <w:tcW w:w="596" w:type="dxa"/>
            <w:vAlign w:val="center"/>
          </w:tcPr>
          <w:p w14:paraId="14B1F675" w14:textId="20739D43" w:rsidR="00360E2B" w:rsidRPr="00360E2B" w:rsidRDefault="00360E2B" w:rsidP="00CC6261">
            <w:pPr>
              <w:jc w:val="center"/>
              <w:rPr>
                <w:rFonts w:ascii="Arial" w:hAnsi="Arial" w:cs="Arial"/>
                <w:sz w:val="22"/>
                <w:szCs w:val="22"/>
              </w:rPr>
            </w:pPr>
            <w:r>
              <w:rPr>
                <w:rFonts w:ascii="Arial" w:hAnsi="Arial" w:cs="Arial"/>
                <w:sz w:val="22"/>
                <w:szCs w:val="22"/>
              </w:rPr>
              <w:t>X</w:t>
            </w:r>
          </w:p>
        </w:tc>
      </w:tr>
    </w:tbl>
    <w:p w14:paraId="217B3F00" w14:textId="77777777" w:rsidR="00360E2B" w:rsidRPr="00360E2B" w:rsidRDefault="00360E2B" w:rsidP="00360E2B">
      <w:pPr>
        <w:spacing w:after="200"/>
        <w:rPr>
          <w:rFonts w:ascii="Arial" w:hAnsi="Arial" w:cs="Arial"/>
          <w:b/>
          <w:sz w:val="22"/>
          <w:szCs w:val="22"/>
        </w:rPr>
      </w:pPr>
    </w:p>
    <w:p w14:paraId="102CA4CA" w14:textId="77777777" w:rsidR="00360E2B" w:rsidRPr="00360E2B" w:rsidRDefault="00360E2B" w:rsidP="00360E2B">
      <w:pPr>
        <w:pStyle w:val="TituloTCC"/>
        <w:rPr>
          <w:rFonts w:cs="Arial"/>
        </w:rPr>
      </w:pPr>
      <w:r w:rsidRPr="00360E2B">
        <w:rPr>
          <w:rFonts w:cs="Arial"/>
        </w:rPr>
        <w:br/>
      </w:r>
    </w:p>
    <w:p w14:paraId="1BBA9F4B" w14:textId="77777777" w:rsidR="00360E2B" w:rsidRPr="00360E2B" w:rsidRDefault="00360E2B" w:rsidP="00360E2B">
      <w:pPr>
        <w:spacing w:after="200"/>
        <w:rPr>
          <w:rFonts w:ascii="Arial" w:hAnsi="Arial" w:cs="Arial"/>
          <w:b/>
          <w:sz w:val="22"/>
          <w:szCs w:val="22"/>
        </w:rPr>
      </w:pPr>
      <w:r w:rsidRPr="00360E2B">
        <w:rPr>
          <w:rFonts w:ascii="Arial" w:hAnsi="Arial" w:cs="Arial"/>
          <w:sz w:val="22"/>
          <w:szCs w:val="22"/>
        </w:rPr>
        <w:br w:type="page"/>
      </w:r>
    </w:p>
    <w:p w14:paraId="617DC5C7" w14:textId="77777777" w:rsidR="00360E2B" w:rsidRPr="00360E2B" w:rsidRDefault="00360E2B" w:rsidP="00360E2B">
      <w:pPr>
        <w:pStyle w:val="TituloTCC"/>
        <w:jc w:val="both"/>
        <w:rPr>
          <w:rFonts w:cs="Arial"/>
          <w:lang w:val="en-US"/>
        </w:rPr>
      </w:pPr>
      <w:r w:rsidRPr="00360E2B">
        <w:rPr>
          <w:rFonts w:cs="Arial"/>
          <w:lang w:val="en-US"/>
        </w:rPr>
        <w:lastRenderedPageBreak/>
        <w:t>Referências</w:t>
      </w:r>
    </w:p>
    <w:p w14:paraId="311952B6"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Anderson, E.W. 1998. Customer satisfaction and word of mouth. </w:t>
      </w:r>
      <w:r w:rsidRPr="00360E2B">
        <w:rPr>
          <w:rFonts w:ascii="Arial" w:hAnsi="Arial" w:cs="Arial"/>
          <w:sz w:val="22"/>
          <w:szCs w:val="22"/>
        </w:rPr>
        <w:t>Journal of Service Research 1(1): 5-17.</w:t>
      </w:r>
    </w:p>
    <w:p w14:paraId="3386EDC7" w14:textId="77777777" w:rsidR="00360E2B" w:rsidRPr="00360E2B" w:rsidRDefault="00360E2B" w:rsidP="00360E2B">
      <w:pPr>
        <w:jc w:val="both"/>
        <w:rPr>
          <w:rFonts w:ascii="Arial" w:hAnsi="Arial" w:cs="Arial"/>
          <w:sz w:val="22"/>
          <w:szCs w:val="22"/>
        </w:rPr>
      </w:pPr>
    </w:p>
    <w:p w14:paraId="5A5CC714" w14:textId="77777777" w:rsidR="00360E2B" w:rsidRPr="00360E2B" w:rsidRDefault="00360E2B" w:rsidP="00360E2B">
      <w:pPr>
        <w:jc w:val="both"/>
        <w:rPr>
          <w:rFonts w:ascii="Arial" w:hAnsi="Arial" w:cs="Arial"/>
          <w:sz w:val="22"/>
          <w:szCs w:val="22"/>
        </w:rPr>
      </w:pPr>
      <w:r w:rsidRPr="00360E2B">
        <w:rPr>
          <w:rFonts w:ascii="Arial" w:hAnsi="Arial" w:cs="Arial"/>
          <w:sz w:val="22"/>
          <w:szCs w:val="22"/>
        </w:rPr>
        <w:t>Associação Brasileira de Comércio Eletrônico [ABComm]. 2025. Projeções do e-commerce brasileiro 2025. Disponível em: &lt;https://dados.abcomm.org\&gt;. Acesso em: 29 mar. 2026.</w:t>
      </w:r>
    </w:p>
    <w:p w14:paraId="344E37A9" w14:textId="77777777" w:rsidR="00360E2B" w:rsidRPr="00360E2B" w:rsidRDefault="00360E2B" w:rsidP="00360E2B">
      <w:pPr>
        <w:jc w:val="both"/>
        <w:rPr>
          <w:rFonts w:ascii="Arial" w:hAnsi="Arial" w:cs="Arial"/>
          <w:sz w:val="22"/>
          <w:szCs w:val="22"/>
        </w:rPr>
      </w:pPr>
    </w:p>
    <w:p w14:paraId="37BA2FBA" w14:textId="77777777" w:rsidR="00360E2B" w:rsidRPr="00360E2B" w:rsidRDefault="00360E2B" w:rsidP="00360E2B">
      <w:pPr>
        <w:jc w:val="both"/>
        <w:rPr>
          <w:rFonts w:ascii="Arial" w:hAnsi="Arial" w:cs="Arial"/>
          <w:sz w:val="22"/>
          <w:szCs w:val="22"/>
          <w:lang w:val="en-US"/>
        </w:rPr>
      </w:pPr>
      <w:r w:rsidRPr="00360E2B">
        <w:rPr>
          <w:rFonts w:ascii="Arial" w:hAnsi="Arial" w:cs="Arial"/>
          <w:sz w:val="22"/>
          <w:szCs w:val="22"/>
        </w:rPr>
        <w:t xml:space="preserve">Cameron, A.C.; Trivedi, P.K. 2013. </w:t>
      </w:r>
      <w:r w:rsidRPr="00360E2B">
        <w:rPr>
          <w:rFonts w:ascii="Arial" w:hAnsi="Arial" w:cs="Arial"/>
          <w:sz w:val="22"/>
          <w:szCs w:val="22"/>
          <w:lang w:val="en-US"/>
        </w:rPr>
        <w:t>Regression Analysis of Count Data. 2ed. Cambridge University Press, Cambridge, Reino Unido.</w:t>
      </w:r>
    </w:p>
    <w:p w14:paraId="7CC5CA88" w14:textId="77777777" w:rsidR="00360E2B" w:rsidRPr="00360E2B" w:rsidRDefault="00360E2B" w:rsidP="00360E2B">
      <w:pPr>
        <w:jc w:val="both"/>
        <w:rPr>
          <w:rFonts w:ascii="Arial" w:hAnsi="Arial" w:cs="Arial"/>
          <w:sz w:val="22"/>
          <w:szCs w:val="22"/>
          <w:lang w:val="en-US"/>
        </w:rPr>
      </w:pPr>
    </w:p>
    <w:p w14:paraId="4AF7CD0D" w14:textId="77777777" w:rsidR="00360E2B" w:rsidRPr="00360E2B" w:rsidRDefault="00360E2B" w:rsidP="00360E2B">
      <w:pPr>
        <w:jc w:val="both"/>
        <w:rPr>
          <w:rFonts w:ascii="Arial" w:hAnsi="Arial" w:cs="Arial"/>
          <w:sz w:val="22"/>
          <w:szCs w:val="22"/>
          <w:lang w:val="en-US"/>
        </w:rPr>
      </w:pPr>
      <w:r w:rsidRPr="00360E2B">
        <w:rPr>
          <w:rFonts w:ascii="Arial" w:hAnsi="Arial" w:cs="Arial"/>
          <w:sz w:val="22"/>
          <w:szCs w:val="22"/>
          <w:lang w:val="en-US"/>
        </w:rPr>
        <w:t>Chevalier, J.A.; Mayzlin, D. 2006. The effect of word of mouth on sales: online book reviews. Journal of Marketing Research 43(3): 345-354.</w:t>
      </w:r>
    </w:p>
    <w:p w14:paraId="1F823920" w14:textId="77777777" w:rsidR="00360E2B" w:rsidRPr="00360E2B" w:rsidRDefault="00360E2B" w:rsidP="00360E2B">
      <w:pPr>
        <w:jc w:val="both"/>
        <w:rPr>
          <w:rFonts w:ascii="Arial" w:hAnsi="Arial" w:cs="Arial"/>
          <w:sz w:val="22"/>
          <w:szCs w:val="22"/>
          <w:lang w:val="en-US"/>
        </w:rPr>
      </w:pPr>
    </w:p>
    <w:p w14:paraId="61D64C73"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Fávero, L.P.; Belfiore, P. 2024. Manual de Análise de Dados: Estatística e Machine Learning com Excel, SPSS, Stata, R e Python. </w:t>
      </w:r>
      <w:r w:rsidRPr="00360E2B">
        <w:rPr>
          <w:rFonts w:ascii="Arial" w:hAnsi="Arial" w:cs="Arial"/>
          <w:sz w:val="22"/>
          <w:szCs w:val="22"/>
        </w:rPr>
        <w:t>2ed. LTC, Rio de Janeiro, RJ, Brasil.</w:t>
      </w:r>
    </w:p>
    <w:p w14:paraId="753FD115" w14:textId="77777777" w:rsidR="00360E2B" w:rsidRPr="00360E2B" w:rsidRDefault="00360E2B" w:rsidP="00360E2B">
      <w:pPr>
        <w:jc w:val="both"/>
        <w:rPr>
          <w:rFonts w:ascii="Arial" w:hAnsi="Arial" w:cs="Arial"/>
          <w:sz w:val="22"/>
          <w:szCs w:val="22"/>
        </w:rPr>
      </w:pPr>
    </w:p>
    <w:p w14:paraId="2C4515C1" w14:textId="77777777" w:rsidR="00360E2B" w:rsidRPr="00360E2B" w:rsidRDefault="00360E2B" w:rsidP="00360E2B">
      <w:pPr>
        <w:jc w:val="both"/>
        <w:rPr>
          <w:rFonts w:ascii="Arial" w:hAnsi="Arial" w:cs="Arial"/>
          <w:sz w:val="22"/>
          <w:szCs w:val="22"/>
          <w:lang w:val="en-US"/>
        </w:rPr>
      </w:pPr>
      <w:r w:rsidRPr="00360E2B">
        <w:rPr>
          <w:rFonts w:ascii="Arial" w:hAnsi="Arial" w:cs="Arial"/>
          <w:sz w:val="22"/>
          <w:szCs w:val="22"/>
        </w:rPr>
        <w:t xml:space="preserve">Hilbe, J.M. 2011. </w:t>
      </w:r>
      <w:r w:rsidRPr="00360E2B">
        <w:rPr>
          <w:rFonts w:ascii="Arial" w:hAnsi="Arial" w:cs="Arial"/>
          <w:sz w:val="22"/>
          <w:szCs w:val="22"/>
          <w:lang w:val="en-US"/>
        </w:rPr>
        <w:t>Negative Binomial Regression. 2ed. Cambridge University Press, Cambridge, Reino Unido.</w:t>
      </w:r>
    </w:p>
    <w:p w14:paraId="71606227" w14:textId="77777777" w:rsidR="00360E2B" w:rsidRPr="00360E2B" w:rsidRDefault="00360E2B" w:rsidP="00360E2B">
      <w:pPr>
        <w:jc w:val="both"/>
        <w:rPr>
          <w:rFonts w:ascii="Arial" w:hAnsi="Arial" w:cs="Arial"/>
          <w:sz w:val="22"/>
          <w:szCs w:val="22"/>
          <w:lang w:val="en-US"/>
        </w:rPr>
      </w:pPr>
    </w:p>
    <w:p w14:paraId="19A27898"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Kotler, P.; Keller, K.L. 2018. </w:t>
      </w:r>
      <w:r w:rsidRPr="00360E2B">
        <w:rPr>
          <w:rFonts w:ascii="Arial" w:hAnsi="Arial" w:cs="Arial"/>
          <w:sz w:val="22"/>
          <w:szCs w:val="22"/>
        </w:rPr>
        <w:t>Administração de Marketing. 15ed. Pearson Education do Brasil, São Paulo, SP, Brasil.</w:t>
      </w:r>
    </w:p>
    <w:p w14:paraId="08F90D9A" w14:textId="77777777" w:rsidR="00360E2B" w:rsidRPr="00360E2B" w:rsidRDefault="00360E2B" w:rsidP="00360E2B">
      <w:pPr>
        <w:jc w:val="both"/>
        <w:rPr>
          <w:rFonts w:ascii="Arial" w:hAnsi="Arial" w:cs="Arial"/>
          <w:sz w:val="22"/>
          <w:szCs w:val="22"/>
        </w:rPr>
      </w:pPr>
    </w:p>
    <w:p w14:paraId="558B9121"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Luo, X.; Homburg, C. 2007. Neglected outcomes of customer satisfaction. </w:t>
      </w:r>
      <w:r w:rsidRPr="00360E2B">
        <w:rPr>
          <w:rFonts w:ascii="Arial" w:hAnsi="Arial" w:cs="Arial"/>
          <w:sz w:val="22"/>
          <w:szCs w:val="22"/>
        </w:rPr>
        <w:t>Journal of Marketing 71(2): 133-149.</w:t>
      </w:r>
    </w:p>
    <w:p w14:paraId="664B8411" w14:textId="77777777" w:rsidR="00360E2B" w:rsidRPr="00360E2B" w:rsidRDefault="00360E2B" w:rsidP="00360E2B">
      <w:pPr>
        <w:jc w:val="both"/>
        <w:rPr>
          <w:rFonts w:ascii="Arial" w:hAnsi="Arial" w:cs="Arial"/>
          <w:sz w:val="22"/>
          <w:szCs w:val="22"/>
        </w:rPr>
      </w:pPr>
    </w:p>
    <w:p w14:paraId="7A165B49" w14:textId="77777777" w:rsidR="00360E2B" w:rsidRPr="00360E2B" w:rsidRDefault="00360E2B" w:rsidP="00360E2B">
      <w:pPr>
        <w:jc w:val="both"/>
        <w:rPr>
          <w:rFonts w:ascii="Arial" w:hAnsi="Arial" w:cs="Arial"/>
          <w:sz w:val="22"/>
          <w:szCs w:val="22"/>
        </w:rPr>
      </w:pPr>
      <w:r w:rsidRPr="00360E2B">
        <w:rPr>
          <w:rFonts w:ascii="Arial" w:hAnsi="Arial" w:cs="Arial"/>
          <w:sz w:val="22"/>
          <w:szCs w:val="22"/>
        </w:rPr>
        <w:t>Marchetti, R.; Prado, P.H.M. 2001. Um tour pelas medidas de satisfação do consumidor. Revista de Administração de Empresas 41(4): 56-67.</w:t>
      </w:r>
    </w:p>
    <w:p w14:paraId="46B8FAED" w14:textId="77777777" w:rsidR="00360E2B" w:rsidRPr="00360E2B" w:rsidRDefault="00360E2B" w:rsidP="00360E2B">
      <w:pPr>
        <w:jc w:val="both"/>
        <w:rPr>
          <w:rFonts w:ascii="Arial" w:hAnsi="Arial" w:cs="Arial"/>
          <w:sz w:val="22"/>
          <w:szCs w:val="22"/>
        </w:rPr>
      </w:pPr>
    </w:p>
    <w:p w14:paraId="417F363B" w14:textId="77777777" w:rsidR="00360E2B" w:rsidRPr="00360E2B" w:rsidRDefault="00360E2B" w:rsidP="00360E2B">
      <w:pPr>
        <w:jc w:val="both"/>
        <w:rPr>
          <w:rFonts w:ascii="Arial" w:hAnsi="Arial" w:cs="Arial"/>
          <w:sz w:val="22"/>
          <w:szCs w:val="22"/>
          <w:lang w:val="en-US"/>
        </w:rPr>
      </w:pPr>
      <w:r w:rsidRPr="00360E2B">
        <w:rPr>
          <w:rFonts w:ascii="Arial" w:hAnsi="Arial" w:cs="Arial"/>
          <w:sz w:val="22"/>
          <w:szCs w:val="22"/>
        </w:rPr>
        <w:t xml:space="preserve">Mudambi, S.M.; Schuff, D. 2010. </w:t>
      </w:r>
      <w:r w:rsidRPr="00360E2B">
        <w:rPr>
          <w:rFonts w:ascii="Arial" w:hAnsi="Arial" w:cs="Arial"/>
          <w:sz w:val="22"/>
          <w:szCs w:val="22"/>
          <w:lang w:val="en-US"/>
        </w:rPr>
        <w:t>What makes a helpful online review? A study of customer reviews on Amazon.com. MIS Quarterly 34(1): 185-200.</w:t>
      </w:r>
    </w:p>
    <w:p w14:paraId="485050FF" w14:textId="77777777" w:rsidR="00360E2B" w:rsidRPr="00360E2B" w:rsidRDefault="00360E2B" w:rsidP="00360E2B">
      <w:pPr>
        <w:jc w:val="both"/>
        <w:rPr>
          <w:rFonts w:ascii="Arial" w:hAnsi="Arial" w:cs="Arial"/>
          <w:sz w:val="22"/>
          <w:szCs w:val="22"/>
          <w:lang w:val="en-US"/>
        </w:rPr>
      </w:pPr>
    </w:p>
    <w:p w14:paraId="4C401F20" w14:textId="77777777" w:rsidR="00360E2B" w:rsidRPr="00360E2B" w:rsidRDefault="00360E2B" w:rsidP="00360E2B">
      <w:pPr>
        <w:jc w:val="both"/>
        <w:rPr>
          <w:rFonts w:ascii="Arial" w:hAnsi="Arial" w:cs="Arial"/>
          <w:sz w:val="22"/>
          <w:szCs w:val="22"/>
        </w:rPr>
      </w:pPr>
      <w:r w:rsidRPr="00360E2B">
        <w:rPr>
          <w:rFonts w:ascii="Arial" w:hAnsi="Arial" w:cs="Arial"/>
          <w:sz w:val="22"/>
          <w:szCs w:val="22"/>
        </w:rPr>
        <w:t>Octadesk; Opinion Box. 2024. CX Trends 2024: tendências de experiência do consumidor. Disponível em: &lt;https://www.octadesk.com/cx-trends\&gt;. Acesso em: 29 mar. 2026.</w:t>
      </w:r>
    </w:p>
    <w:p w14:paraId="52F6FC52" w14:textId="77777777" w:rsidR="00360E2B" w:rsidRPr="00360E2B" w:rsidRDefault="00360E2B" w:rsidP="00360E2B">
      <w:pPr>
        <w:jc w:val="both"/>
        <w:rPr>
          <w:rFonts w:ascii="Arial" w:hAnsi="Arial" w:cs="Arial"/>
          <w:sz w:val="22"/>
          <w:szCs w:val="22"/>
        </w:rPr>
      </w:pPr>
    </w:p>
    <w:p w14:paraId="683AACA1"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Olist. 2018. Brazilian E-Commerce Public Dataset by Olist. </w:t>
      </w:r>
      <w:r w:rsidRPr="00360E2B">
        <w:rPr>
          <w:rFonts w:ascii="Arial" w:hAnsi="Arial" w:cs="Arial"/>
          <w:sz w:val="22"/>
          <w:szCs w:val="22"/>
        </w:rPr>
        <w:t>Disponível em: &lt;https://www.kaggle.com/datasets/olistbr/brazilian-ecommerce\&gt;. Acesso em: 20 mar. 2026.</w:t>
      </w:r>
    </w:p>
    <w:p w14:paraId="2DFD8A56" w14:textId="77777777" w:rsidR="00360E2B" w:rsidRPr="00360E2B" w:rsidRDefault="00360E2B" w:rsidP="00360E2B">
      <w:pPr>
        <w:jc w:val="both"/>
        <w:rPr>
          <w:rFonts w:ascii="Arial" w:hAnsi="Arial" w:cs="Arial"/>
          <w:sz w:val="22"/>
          <w:szCs w:val="22"/>
        </w:rPr>
      </w:pPr>
    </w:p>
    <w:p w14:paraId="72B0C3A8" w14:textId="77777777" w:rsidR="00360E2B" w:rsidRPr="00360E2B" w:rsidRDefault="00360E2B" w:rsidP="00360E2B">
      <w:pPr>
        <w:jc w:val="both"/>
        <w:rPr>
          <w:rFonts w:ascii="Arial" w:hAnsi="Arial" w:cs="Arial"/>
          <w:sz w:val="22"/>
          <w:szCs w:val="22"/>
          <w:lang w:val="en-US"/>
        </w:rPr>
      </w:pPr>
      <w:r w:rsidRPr="00360E2B">
        <w:rPr>
          <w:rFonts w:ascii="Arial" w:hAnsi="Arial" w:cs="Arial"/>
          <w:sz w:val="22"/>
          <w:szCs w:val="22"/>
        </w:rPr>
        <w:t xml:space="preserve">Parasuraman, A.; Zeithaml, V.A.; Berry, L.L. 1985. </w:t>
      </w:r>
      <w:r w:rsidRPr="00360E2B">
        <w:rPr>
          <w:rFonts w:ascii="Arial" w:hAnsi="Arial" w:cs="Arial"/>
          <w:sz w:val="22"/>
          <w:szCs w:val="22"/>
          <w:lang w:val="en-US"/>
        </w:rPr>
        <w:t>A conceptual model of service quality and its implications for future research. Journal of Marketing 49(4): 41-50.</w:t>
      </w:r>
    </w:p>
    <w:p w14:paraId="024EE9A3" w14:textId="77777777" w:rsidR="00360E2B" w:rsidRPr="00360E2B" w:rsidRDefault="00360E2B" w:rsidP="00360E2B">
      <w:pPr>
        <w:jc w:val="both"/>
        <w:rPr>
          <w:rFonts w:ascii="Arial" w:hAnsi="Arial" w:cs="Arial"/>
          <w:sz w:val="22"/>
          <w:szCs w:val="22"/>
          <w:lang w:val="en-US"/>
        </w:rPr>
      </w:pPr>
    </w:p>
    <w:p w14:paraId="2865D162" w14:textId="77777777" w:rsidR="00360E2B" w:rsidRPr="00360E2B" w:rsidRDefault="00360E2B" w:rsidP="00360E2B">
      <w:pPr>
        <w:jc w:val="both"/>
        <w:rPr>
          <w:rFonts w:ascii="Arial" w:hAnsi="Arial" w:cs="Arial"/>
          <w:sz w:val="22"/>
          <w:szCs w:val="22"/>
        </w:rPr>
      </w:pPr>
      <w:r w:rsidRPr="00360E2B">
        <w:rPr>
          <w:rFonts w:ascii="Arial" w:hAnsi="Arial" w:cs="Arial"/>
          <w:sz w:val="22"/>
          <w:szCs w:val="22"/>
          <w:lang w:val="en-US"/>
        </w:rPr>
        <w:t xml:space="preserve">Zhu, F.; Zhang, X. 2010. Impact of online consumer reviews on sales: the moderating role of product and consumer characteristics. </w:t>
      </w:r>
      <w:r w:rsidRPr="00360E2B">
        <w:rPr>
          <w:rFonts w:ascii="Arial" w:hAnsi="Arial" w:cs="Arial"/>
          <w:sz w:val="22"/>
          <w:szCs w:val="22"/>
        </w:rPr>
        <w:t>Journal of Marketing 74(2): 133-148.</w:t>
      </w:r>
    </w:p>
    <w:p w14:paraId="222ECF43" w14:textId="45994A86" w:rsidR="008C3D63" w:rsidRPr="00360E2B" w:rsidRDefault="008C3D63" w:rsidP="00360E2B">
      <w:pPr>
        <w:rPr>
          <w:rFonts w:ascii="Arial" w:hAnsi="Arial" w:cs="Arial"/>
          <w:sz w:val="22"/>
          <w:szCs w:val="22"/>
        </w:rPr>
      </w:pPr>
    </w:p>
    <w:sectPr w:rsidR="008C3D63" w:rsidRPr="00360E2B" w:rsidSect="003B25C3">
      <w:headerReference w:type="default" r:id="rId11"/>
      <w:footerReference w:type="default" r:id="rId12"/>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6CC4" w14:textId="77777777" w:rsidR="00DC7173" w:rsidRPr="009A4827" w:rsidRDefault="00DC7173" w:rsidP="00E42439">
      <w:r w:rsidRPr="009A4827">
        <w:separator/>
      </w:r>
    </w:p>
  </w:endnote>
  <w:endnote w:type="continuationSeparator" w:id="0">
    <w:p w14:paraId="70DFB013" w14:textId="77777777" w:rsidR="00DC7173" w:rsidRPr="009A4827" w:rsidRDefault="00DC7173" w:rsidP="00E42439">
      <w:r w:rsidRPr="009A4827">
        <w:continuationSeparator/>
      </w:r>
    </w:p>
  </w:endnote>
  <w:endnote w:type="continuationNotice" w:id="1">
    <w:p w14:paraId="5B55681D" w14:textId="77777777" w:rsidR="00DC7173" w:rsidRPr="009A4827" w:rsidRDefault="00DC71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9A4827" w:rsidRDefault="00243992" w:rsidP="00BF4D6B">
        <w:pPr>
          <w:pStyle w:val="Rodap"/>
          <w:jc w:val="right"/>
          <w:rPr>
            <w:rFonts w:ascii="Arial" w:hAnsi="Arial" w:cs="Arial"/>
            <w:sz w:val="18"/>
            <w:szCs w:val="18"/>
          </w:rPr>
        </w:pPr>
        <w:r w:rsidRPr="009A4827">
          <w:rPr>
            <w:rFonts w:ascii="Arial" w:hAnsi="Arial" w:cs="Arial"/>
            <w:sz w:val="18"/>
            <w:szCs w:val="18"/>
          </w:rPr>
          <w:fldChar w:fldCharType="begin"/>
        </w:r>
        <w:r w:rsidRPr="009A4827">
          <w:rPr>
            <w:rFonts w:ascii="Arial" w:hAnsi="Arial" w:cs="Arial"/>
            <w:sz w:val="18"/>
            <w:szCs w:val="18"/>
          </w:rPr>
          <w:instrText>PAGE   \* MERGEFORMAT</w:instrText>
        </w:r>
        <w:r w:rsidRPr="009A4827">
          <w:rPr>
            <w:rFonts w:ascii="Arial" w:hAnsi="Arial" w:cs="Arial"/>
            <w:sz w:val="18"/>
            <w:szCs w:val="18"/>
          </w:rPr>
          <w:fldChar w:fldCharType="separate"/>
        </w:r>
        <w:r w:rsidRPr="009A4827">
          <w:rPr>
            <w:rFonts w:ascii="Arial" w:hAnsi="Arial" w:cs="Arial"/>
            <w:sz w:val="18"/>
            <w:szCs w:val="18"/>
          </w:rPr>
          <w:t>2</w:t>
        </w:r>
        <w:r w:rsidRPr="009A4827">
          <w:rPr>
            <w:rFonts w:ascii="Arial" w:hAnsi="Arial" w:cs="Arial"/>
            <w:sz w:val="18"/>
            <w:szCs w:val="18"/>
          </w:rPr>
          <w:fldChar w:fldCharType="end"/>
        </w:r>
      </w:p>
    </w:sdtContent>
  </w:sdt>
  <w:p w14:paraId="409905DB" w14:textId="77777777" w:rsidR="00243992" w:rsidRPr="009A4827"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10B0" w14:textId="77777777" w:rsidR="00DC7173" w:rsidRPr="009A4827" w:rsidRDefault="00DC7173" w:rsidP="00E42439">
      <w:r w:rsidRPr="009A4827">
        <w:separator/>
      </w:r>
    </w:p>
  </w:footnote>
  <w:footnote w:type="continuationSeparator" w:id="0">
    <w:p w14:paraId="2D180801" w14:textId="77777777" w:rsidR="00DC7173" w:rsidRPr="009A4827" w:rsidRDefault="00DC7173" w:rsidP="00E42439">
      <w:r w:rsidRPr="009A4827">
        <w:continuationSeparator/>
      </w:r>
    </w:p>
  </w:footnote>
  <w:footnote w:type="continuationNotice" w:id="1">
    <w:p w14:paraId="7940B3D2" w14:textId="77777777" w:rsidR="00DC7173" w:rsidRPr="009A4827" w:rsidRDefault="00DC71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B2B6" w14:textId="77777777" w:rsidR="00F00C0C" w:rsidRPr="009A4827" w:rsidRDefault="00F00C0C" w:rsidP="20DA5E65">
    <w:pPr>
      <w:pStyle w:val="SemEspaamento"/>
      <w:ind w:right="3968"/>
      <w:rPr>
        <w:sz w:val="16"/>
        <w:szCs w:val="16"/>
      </w:rPr>
    </w:pPr>
    <w:r w:rsidRPr="009A4827">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9A4827">
      <w:rPr>
        <w:sz w:val="16"/>
        <w:szCs w:val="16"/>
      </w:rPr>
      <w:t xml:space="preserve">Projeto de Pesquisa – Trabalho de Conclusão de Curso </w:t>
    </w:r>
  </w:p>
  <w:p w14:paraId="33318605" w14:textId="1C32643E" w:rsidR="00652BE2" w:rsidRPr="009A4827" w:rsidRDefault="00F00C0C" w:rsidP="00F00C0C">
    <w:pPr>
      <w:pStyle w:val="Cabealho"/>
      <w:tabs>
        <w:tab w:val="clear" w:pos="4252"/>
        <w:tab w:val="clear" w:pos="8504"/>
        <w:tab w:val="left" w:pos="1785"/>
      </w:tabs>
    </w:pPr>
    <w:r w:rsidRPr="009A4827">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Conector reto 1" style="position:absolute;flip:y;z-index:25165926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spid="_x0000_s1026" strokecolor="#595959" strokeweight=".25pt" from="401.8pt,8.4pt" to="854.8pt,8.4pt" w14:anchorId="0425D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o:lock v:ext="edit" shapetype="f"/>
              <w10:wrap anchorx="margin"/>
            </v:line>
          </w:pict>
        </mc:Fallback>
      </mc:AlternateContent>
    </w:r>
    <w:r w:rsidRPr="009A4827">
      <w:tab/>
    </w:r>
    <w:r w:rsidR="00C8602C" w:rsidRPr="009A4827">
      <w:rPr>
        <w:rFonts w:ascii="Arial" w:hAnsi="Arial" w:cs="Arial"/>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54970079">
    <w:abstractNumId w:val="2"/>
  </w:num>
  <w:num w:numId="2" w16cid:durableId="397752771">
    <w:abstractNumId w:val="0"/>
  </w:num>
  <w:num w:numId="3" w16cid:durableId="1546134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6283"/>
    <w:rsid w:val="0000637A"/>
    <w:rsid w:val="00007EC0"/>
    <w:rsid w:val="000105EB"/>
    <w:rsid w:val="00010C76"/>
    <w:rsid w:val="0001415A"/>
    <w:rsid w:val="00021083"/>
    <w:rsid w:val="000225C1"/>
    <w:rsid w:val="00033D3F"/>
    <w:rsid w:val="0004664C"/>
    <w:rsid w:val="00047518"/>
    <w:rsid w:val="00050E69"/>
    <w:rsid w:val="00060E67"/>
    <w:rsid w:val="0007524C"/>
    <w:rsid w:val="00083449"/>
    <w:rsid w:val="000917E7"/>
    <w:rsid w:val="00094EBD"/>
    <w:rsid w:val="00095461"/>
    <w:rsid w:val="00096D87"/>
    <w:rsid w:val="000A0290"/>
    <w:rsid w:val="000B03C2"/>
    <w:rsid w:val="000B1A59"/>
    <w:rsid w:val="000C4FF5"/>
    <w:rsid w:val="000C7DF8"/>
    <w:rsid w:val="000D693D"/>
    <w:rsid w:val="000D768E"/>
    <w:rsid w:val="000D7D6A"/>
    <w:rsid w:val="000E2F70"/>
    <w:rsid w:val="00103086"/>
    <w:rsid w:val="00110DD6"/>
    <w:rsid w:val="00112D43"/>
    <w:rsid w:val="001148FB"/>
    <w:rsid w:val="00115E77"/>
    <w:rsid w:val="00126C4A"/>
    <w:rsid w:val="001367B8"/>
    <w:rsid w:val="001560C0"/>
    <w:rsid w:val="001649BF"/>
    <w:rsid w:val="001759D1"/>
    <w:rsid w:val="001818E6"/>
    <w:rsid w:val="00184476"/>
    <w:rsid w:val="00191F84"/>
    <w:rsid w:val="00195248"/>
    <w:rsid w:val="001B0A80"/>
    <w:rsid w:val="001B4FD0"/>
    <w:rsid w:val="001B6118"/>
    <w:rsid w:val="001C332A"/>
    <w:rsid w:val="001C4CDF"/>
    <w:rsid w:val="001C60F1"/>
    <w:rsid w:val="00200CCA"/>
    <w:rsid w:val="00216E0B"/>
    <w:rsid w:val="00235F50"/>
    <w:rsid w:val="00242AEA"/>
    <w:rsid w:val="00242D59"/>
    <w:rsid w:val="00243992"/>
    <w:rsid w:val="00244474"/>
    <w:rsid w:val="00247B95"/>
    <w:rsid w:val="00250B4D"/>
    <w:rsid w:val="00255D8C"/>
    <w:rsid w:val="0025644B"/>
    <w:rsid w:val="002613B9"/>
    <w:rsid w:val="002647AD"/>
    <w:rsid w:val="00264983"/>
    <w:rsid w:val="0026500E"/>
    <w:rsid w:val="00266F86"/>
    <w:rsid w:val="00270FC2"/>
    <w:rsid w:val="00273575"/>
    <w:rsid w:val="00277333"/>
    <w:rsid w:val="00297EE1"/>
    <w:rsid w:val="002A5BCB"/>
    <w:rsid w:val="002C0829"/>
    <w:rsid w:val="002C3583"/>
    <w:rsid w:val="002D1ADC"/>
    <w:rsid w:val="002E038C"/>
    <w:rsid w:val="00310B74"/>
    <w:rsid w:val="003158E2"/>
    <w:rsid w:val="00322789"/>
    <w:rsid w:val="0033159E"/>
    <w:rsid w:val="00354671"/>
    <w:rsid w:val="00354D42"/>
    <w:rsid w:val="00360E2B"/>
    <w:rsid w:val="00366F56"/>
    <w:rsid w:val="003762BC"/>
    <w:rsid w:val="00381A06"/>
    <w:rsid w:val="0038269E"/>
    <w:rsid w:val="00384336"/>
    <w:rsid w:val="00384339"/>
    <w:rsid w:val="00385795"/>
    <w:rsid w:val="0038618E"/>
    <w:rsid w:val="00393DE2"/>
    <w:rsid w:val="003A353E"/>
    <w:rsid w:val="003A7F4E"/>
    <w:rsid w:val="003B25C3"/>
    <w:rsid w:val="003C3057"/>
    <w:rsid w:val="003E7577"/>
    <w:rsid w:val="003F03DF"/>
    <w:rsid w:val="003F5D14"/>
    <w:rsid w:val="00406870"/>
    <w:rsid w:val="00423CA1"/>
    <w:rsid w:val="004245D8"/>
    <w:rsid w:val="00435623"/>
    <w:rsid w:val="0045492C"/>
    <w:rsid w:val="00474A43"/>
    <w:rsid w:val="0047775C"/>
    <w:rsid w:val="00486A11"/>
    <w:rsid w:val="00490069"/>
    <w:rsid w:val="00490AD1"/>
    <w:rsid w:val="00490E28"/>
    <w:rsid w:val="0049753F"/>
    <w:rsid w:val="004A32B3"/>
    <w:rsid w:val="004B34B7"/>
    <w:rsid w:val="004B4029"/>
    <w:rsid w:val="004B635E"/>
    <w:rsid w:val="004C656D"/>
    <w:rsid w:val="004E262F"/>
    <w:rsid w:val="004F4F8A"/>
    <w:rsid w:val="005034F5"/>
    <w:rsid w:val="0050577E"/>
    <w:rsid w:val="00506159"/>
    <w:rsid w:val="00507670"/>
    <w:rsid w:val="00513151"/>
    <w:rsid w:val="00517778"/>
    <w:rsid w:val="0052003D"/>
    <w:rsid w:val="00522CCC"/>
    <w:rsid w:val="00530E25"/>
    <w:rsid w:val="00540C4F"/>
    <w:rsid w:val="00543B8A"/>
    <w:rsid w:val="0054502A"/>
    <w:rsid w:val="005456A0"/>
    <w:rsid w:val="005468E3"/>
    <w:rsid w:val="0055446A"/>
    <w:rsid w:val="00557165"/>
    <w:rsid w:val="00591469"/>
    <w:rsid w:val="005A6098"/>
    <w:rsid w:val="005B5ADA"/>
    <w:rsid w:val="005C2C5B"/>
    <w:rsid w:val="005C3891"/>
    <w:rsid w:val="005C5DBA"/>
    <w:rsid w:val="00616E29"/>
    <w:rsid w:val="00622BF6"/>
    <w:rsid w:val="0063415E"/>
    <w:rsid w:val="00643991"/>
    <w:rsid w:val="00652BE2"/>
    <w:rsid w:val="00664906"/>
    <w:rsid w:val="00666F21"/>
    <w:rsid w:val="00685783"/>
    <w:rsid w:val="0069219D"/>
    <w:rsid w:val="00695536"/>
    <w:rsid w:val="006A3876"/>
    <w:rsid w:val="006B3629"/>
    <w:rsid w:val="006D402F"/>
    <w:rsid w:val="00710D44"/>
    <w:rsid w:val="00716D65"/>
    <w:rsid w:val="00724C16"/>
    <w:rsid w:val="007411C5"/>
    <w:rsid w:val="00742464"/>
    <w:rsid w:val="00750AD6"/>
    <w:rsid w:val="007671D5"/>
    <w:rsid w:val="00781C86"/>
    <w:rsid w:val="00785D25"/>
    <w:rsid w:val="00786F03"/>
    <w:rsid w:val="00792B0F"/>
    <w:rsid w:val="00793926"/>
    <w:rsid w:val="00794367"/>
    <w:rsid w:val="007945B5"/>
    <w:rsid w:val="007A0CA3"/>
    <w:rsid w:val="007B2A1A"/>
    <w:rsid w:val="007B6022"/>
    <w:rsid w:val="007B69B1"/>
    <w:rsid w:val="007C5A21"/>
    <w:rsid w:val="007C7681"/>
    <w:rsid w:val="007D45B7"/>
    <w:rsid w:val="007F65C5"/>
    <w:rsid w:val="008107B6"/>
    <w:rsid w:val="008110DE"/>
    <w:rsid w:val="00814079"/>
    <w:rsid w:val="008249DA"/>
    <w:rsid w:val="008308EE"/>
    <w:rsid w:val="0085690D"/>
    <w:rsid w:val="00877956"/>
    <w:rsid w:val="00886D66"/>
    <w:rsid w:val="0088787B"/>
    <w:rsid w:val="00887C6C"/>
    <w:rsid w:val="00887E44"/>
    <w:rsid w:val="00895FEA"/>
    <w:rsid w:val="008A2C5D"/>
    <w:rsid w:val="008B7819"/>
    <w:rsid w:val="008C03CC"/>
    <w:rsid w:val="008C3D63"/>
    <w:rsid w:val="008C64AA"/>
    <w:rsid w:val="008D09F1"/>
    <w:rsid w:val="008E2E78"/>
    <w:rsid w:val="008E34A4"/>
    <w:rsid w:val="00901D5C"/>
    <w:rsid w:val="00906AC7"/>
    <w:rsid w:val="00920167"/>
    <w:rsid w:val="009252A6"/>
    <w:rsid w:val="00934114"/>
    <w:rsid w:val="0093537E"/>
    <w:rsid w:val="00943F5A"/>
    <w:rsid w:val="009841D3"/>
    <w:rsid w:val="00985D41"/>
    <w:rsid w:val="00986088"/>
    <w:rsid w:val="00986764"/>
    <w:rsid w:val="009872C4"/>
    <w:rsid w:val="0099088D"/>
    <w:rsid w:val="0099332A"/>
    <w:rsid w:val="00993D42"/>
    <w:rsid w:val="009A0BD6"/>
    <w:rsid w:val="009A1066"/>
    <w:rsid w:val="009A4827"/>
    <w:rsid w:val="009A62F4"/>
    <w:rsid w:val="009A6993"/>
    <w:rsid w:val="009B5F2F"/>
    <w:rsid w:val="009B71CC"/>
    <w:rsid w:val="009C5C50"/>
    <w:rsid w:val="009D497B"/>
    <w:rsid w:val="009F1082"/>
    <w:rsid w:val="00A04BB8"/>
    <w:rsid w:val="00A05641"/>
    <w:rsid w:val="00A11242"/>
    <w:rsid w:val="00A12AB4"/>
    <w:rsid w:val="00A135C5"/>
    <w:rsid w:val="00A16341"/>
    <w:rsid w:val="00A22084"/>
    <w:rsid w:val="00A23A9F"/>
    <w:rsid w:val="00A3206C"/>
    <w:rsid w:val="00A36A3A"/>
    <w:rsid w:val="00A4708F"/>
    <w:rsid w:val="00A478D3"/>
    <w:rsid w:val="00A54AB9"/>
    <w:rsid w:val="00A6629C"/>
    <w:rsid w:val="00A73E5A"/>
    <w:rsid w:val="00A801EE"/>
    <w:rsid w:val="00A823D1"/>
    <w:rsid w:val="00A84414"/>
    <w:rsid w:val="00A86613"/>
    <w:rsid w:val="00A86A46"/>
    <w:rsid w:val="00AB0A50"/>
    <w:rsid w:val="00AC4F20"/>
    <w:rsid w:val="00AE0F5F"/>
    <w:rsid w:val="00AE7157"/>
    <w:rsid w:val="00AF2E4B"/>
    <w:rsid w:val="00AF5D6E"/>
    <w:rsid w:val="00B018AC"/>
    <w:rsid w:val="00B03CE1"/>
    <w:rsid w:val="00B24B75"/>
    <w:rsid w:val="00B46FFC"/>
    <w:rsid w:val="00B54251"/>
    <w:rsid w:val="00B570D4"/>
    <w:rsid w:val="00B5738B"/>
    <w:rsid w:val="00B73020"/>
    <w:rsid w:val="00B870CB"/>
    <w:rsid w:val="00B902E5"/>
    <w:rsid w:val="00B934C3"/>
    <w:rsid w:val="00B93EC3"/>
    <w:rsid w:val="00B95AE5"/>
    <w:rsid w:val="00B97C68"/>
    <w:rsid w:val="00BA1F77"/>
    <w:rsid w:val="00BA687E"/>
    <w:rsid w:val="00BB77CD"/>
    <w:rsid w:val="00BB7F7F"/>
    <w:rsid w:val="00BC054F"/>
    <w:rsid w:val="00BC3D65"/>
    <w:rsid w:val="00BD72EB"/>
    <w:rsid w:val="00BE546E"/>
    <w:rsid w:val="00BF4D6B"/>
    <w:rsid w:val="00C07A70"/>
    <w:rsid w:val="00C1097B"/>
    <w:rsid w:val="00C142BF"/>
    <w:rsid w:val="00C16948"/>
    <w:rsid w:val="00C23EB7"/>
    <w:rsid w:val="00C26361"/>
    <w:rsid w:val="00C27E0D"/>
    <w:rsid w:val="00C33754"/>
    <w:rsid w:val="00C46CF6"/>
    <w:rsid w:val="00C47DC5"/>
    <w:rsid w:val="00C50249"/>
    <w:rsid w:val="00C5378D"/>
    <w:rsid w:val="00C62018"/>
    <w:rsid w:val="00C6324D"/>
    <w:rsid w:val="00C713D0"/>
    <w:rsid w:val="00C71E75"/>
    <w:rsid w:val="00C73F5E"/>
    <w:rsid w:val="00C75F87"/>
    <w:rsid w:val="00C80BF4"/>
    <w:rsid w:val="00C85A6B"/>
    <w:rsid w:val="00C8602C"/>
    <w:rsid w:val="00CB16E7"/>
    <w:rsid w:val="00CB762C"/>
    <w:rsid w:val="00CC569B"/>
    <w:rsid w:val="00CD1AD0"/>
    <w:rsid w:val="00CD2E1B"/>
    <w:rsid w:val="00CE74A5"/>
    <w:rsid w:val="00CF12AB"/>
    <w:rsid w:val="00CF470F"/>
    <w:rsid w:val="00D00C6D"/>
    <w:rsid w:val="00D07B22"/>
    <w:rsid w:val="00D13FD4"/>
    <w:rsid w:val="00D15544"/>
    <w:rsid w:val="00D20120"/>
    <w:rsid w:val="00D21563"/>
    <w:rsid w:val="00D36E46"/>
    <w:rsid w:val="00D40196"/>
    <w:rsid w:val="00D61370"/>
    <w:rsid w:val="00D758DD"/>
    <w:rsid w:val="00D82DAF"/>
    <w:rsid w:val="00D836F4"/>
    <w:rsid w:val="00D87657"/>
    <w:rsid w:val="00D90ED9"/>
    <w:rsid w:val="00D90EF3"/>
    <w:rsid w:val="00DA6674"/>
    <w:rsid w:val="00DA7C2A"/>
    <w:rsid w:val="00DC400D"/>
    <w:rsid w:val="00DC7173"/>
    <w:rsid w:val="00DD1321"/>
    <w:rsid w:val="00DD60D0"/>
    <w:rsid w:val="00DD7145"/>
    <w:rsid w:val="00DD7E7B"/>
    <w:rsid w:val="00DE790A"/>
    <w:rsid w:val="00E10F7C"/>
    <w:rsid w:val="00E12D9A"/>
    <w:rsid w:val="00E42439"/>
    <w:rsid w:val="00E47EEA"/>
    <w:rsid w:val="00E53CC8"/>
    <w:rsid w:val="00E54669"/>
    <w:rsid w:val="00E622D6"/>
    <w:rsid w:val="00E6462F"/>
    <w:rsid w:val="00E65D3F"/>
    <w:rsid w:val="00E67FAB"/>
    <w:rsid w:val="00E81759"/>
    <w:rsid w:val="00E81A84"/>
    <w:rsid w:val="00E86735"/>
    <w:rsid w:val="00E9554F"/>
    <w:rsid w:val="00EA2ACE"/>
    <w:rsid w:val="00EB01A6"/>
    <w:rsid w:val="00EC500F"/>
    <w:rsid w:val="00EC7419"/>
    <w:rsid w:val="00ED1977"/>
    <w:rsid w:val="00ED1E79"/>
    <w:rsid w:val="00ED5309"/>
    <w:rsid w:val="00EE4DCB"/>
    <w:rsid w:val="00EF388B"/>
    <w:rsid w:val="00F00C0C"/>
    <w:rsid w:val="00F049FA"/>
    <w:rsid w:val="00F04C98"/>
    <w:rsid w:val="00F13F08"/>
    <w:rsid w:val="00F13FDE"/>
    <w:rsid w:val="00F1670E"/>
    <w:rsid w:val="00F3447C"/>
    <w:rsid w:val="00F35CBA"/>
    <w:rsid w:val="00F40164"/>
    <w:rsid w:val="00F46673"/>
    <w:rsid w:val="00F46A35"/>
    <w:rsid w:val="00F73F1D"/>
    <w:rsid w:val="00F7400D"/>
    <w:rsid w:val="00F84E18"/>
    <w:rsid w:val="00F92B37"/>
    <w:rsid w:val="00F93DE9"/>
    <w:rsid w:val="00F95547"/>
    <w:rsid w:val="00FA2529"/>
    <w:rsid w:val="00FB7B00"/>
    <w:rsid w:val="00FD5475"/>
    <w:rsid w:val="00FE2D24"/>
    <w:rsid w:val="00FE5624"/>
    <w:rsid w:val="00FE70BE"/>
    <w:rsid w:val="00FF0B32"/>
    <w:rsid w:val="00FF0DCC"/>
    <w:rsid w:val="00FF11CE"/>
    <w:rsid w:val="00FF2498"/>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21"/>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5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 w:type="paragraph" w:styleId="Reviso">
    <w:name w:val="Revision"/>
    <w:hidden/>
    <w:uiPriority w:val="99"/>
    <w:semiHidden/>
    <w:rsid w:val="00664906"/>
    <w:pPr>
      <w:spacing w:after="0" w:line="240" w:lineRule="auto"/>
    </w:pPr>
    <w:rPr>
      <w:rFonts w:ascii="Times New Roman" w:eastAsia="Times New Roman" w:hAnsi="Times New Roman" w:cs="Times New Roman"/>
      <w:sz w:val="20"/>
      <w:szCs w:val="20"/>
      <w:lang w:val="en-US" w:eastAsia="pt-BR"/>
    </w:rPr>
  </w:style>
  <w:style w:type="character" w:styleId="HiperlinkVisitado">
    <w:name w:val="FollowedHyperlink"/>
    <w:basedOn w:val="Fontepargpadro"/>
    <w:uiPriority w:val="99"/>
    <w:semiHidden/>
    <w:unhideWhenUsed/>
    <w:rsid w:val="00A84414"/>
    <w:rPr>
      <w:color w:val="954F72" w:themeColor="followedHyperlink"/>
      <w:u w:val="single"/>
    </w:rPr>
  </w:style>
  <w:style w:type="paragraph" w:customStyle="1" w:styleId="ParagrafoTCC">
    <w:name w:val="Paragrafo_TCC"/>
    <w:basedOn w:val="Normal"/>
    <w:link w:val="ParagrafoTCCChar"/>
    <w:qFormat/>
    <w:rsid w:val="00360E2B"/>
    <w:pPr>
      <w:spacing w:line="360" w:lineRule="auto"/>
      <w:ind w:firstLine="709"/>
      <w:jc w:val="both"/>
    </w:pPr>
    <w:rPr>
      <w:rFonts w:ascii="Arial" w:eastAsiaTheme="minorEastAsia" w:hAnsi="Arial" w:cstheme="minorBidi"/>
      <w:sz w:val="22"/>
      <w:szCs w:val="22"/>
      <w:lang w:eastAsia="en-US"/>
    </w:rPr>
  </w:style>
  <w:style w:type="paragraph" w:customStyle="1" w:styleId="TituloTCC">
    <w:name w:val="Titulo_TCC"/>
    <w:basedOn w:val="Normal"/>
    <w:link w:val="TituloTCCChar"/>
    <w:qFormat/>
    <w:rsid w:val="00360E2B"/>
    <w:pPr>
      <w:spacing w:before="360" w:after="360"/>
    </w:pPr>
    <w:rPr>
      <w:rFonts w:ascii="Arial" w:eastAsiaTheme="minorEastAsia" w:hAnsi="Arial" w:cstheme="minorBidi"/>
      <w:b/>
      <w:sz w:val="22"/>
      <w:szCs w:val="22"/>
      <w:lang w:eastAsia="en-US"/>
    </w:rPr>
  </w:style>
  <w:style w:type="character" w:customStyle="1" w:styleId="ParagrafoTCCChar">
    <w:name w:val="Paragrafo_TCC Char"/>
    <w:basedOn w:val="Fontepargpadro"/>
    <w:link w:val="ParagrafoTCC"/>
    <w:rsid w:val="00360E2B"/>
    <w:rPr>
      <w:rFonts w:ascii="Arial" w:eastAsiaTheme="minorEastAsia" w:hAnsi="Arial"/>
    </w:rPr>
  </w:style>
  <w:style w:type="character" w:customStyle="1" w:styleId="TituloTCCChar">
    <w:name w:val="Titulo_TCC Char"/>
    <w:basedOn w:val="Fontepargpadro"/>
    <w:link w:val="TituloTCC"/>
    <w:rsid w:val="00360E2B"/>
    <w:rPr>
      <w:rFonts w:ascii="Arial" w:eastAsiaTheme="minorEastAsia"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0058">
      <w:bodyDiv w:val="1"/>
      <w:marLeft w:val="0"/>
      <w:marRight w:val="0"/>
      <w:marTop w:val="0"/>
      <w:marBottom w:val="0"/>
      <w:divBdr>
        <w:top w:val="none" w:sz="0" w:space="0" w:color="auto"/>
        <w:left w:val="none" w:sz="0" w:space="0" w:color="auto"/>
        <w:bottom w:val="none" w:sz="0" w:space="0" w:color="auto"/>
        <w:right w:val="none" w:sz="0" w:space="0" w:color="auto"/>
      </w:divBdr>
    </w:div>
    <w:div w:id="758217915">
      <w:bodyDiv w:val="1"/>
      <w:marLeft w:val="0"/>
      <w:marRight w:val="0"/>
      <w:marTop w:val="0"/>
      <w:marBottom w:val="0"/>
      <w:divBdr>
        <w:top w:val="none" w:sz="0" w:space="0" w:color="auto"/>
        <w:left w:val="none" w:sz="0" w:space="0" w:color="auto"/>
        <w:bottom w:val="none" w:sz="0" w:space="0" w:color="auto"/>
        <w:right w:val="none" w:sz="0" w:space="0" w:color="auto"/>
      </w:divBdr>
    </w:div>
    <w:div w:id="811287754">
      <w:bodyDiv w:val="1"/>
      <w:marLeft w:val="0"/>
      <w:marRight w:val="0"/>
      <w:marTop w:val="0"/>
      <w:marBottom w:val="0"/>
      <w:divBdr>
        <w:top w:val="none" w:sz="0" w:space="0" w:color="auto"/>
        <w:left w:val="none" w:sz="0" w:space="0" w:color="auto"/>
        <w:bottom w:val="none" w:sz="0" w:space="0" w:color="auto"/>
        <w:right w:val="none" w:sz="0" w:space="0" w:color="auto"/>
      </w:divBdr>
    </w:div>
    <w:div w:id="97368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8</Pages>
  <Words>2832</Words>
  <Characters>15293</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Maycon Henrique Aranha</dc:creator>
  <cp:keywords/>
  <dc:description/>
  <cp:lastModifiedBy>Maycon Aranha</cp:lastModifiedBy>
  <cp:revision>4</cp:revision>
  <dcterms:created xsi:type="dcterms:W3CDTF">2024-06-11T16:47:00Z</dcterms:created>
  <dcterms:modified xsi:type="dcterms:W3CDTF">2026-04-01T01:09:00Z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e2b3c241-025d-4eb1-be27-bc81052703a7</vt:lpwstr>
  </property>
</Properties>
</file>