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DNW35202-库存台账与库存控制业务方案-拆分需求条目</w:t>
      </w:r>
    </w:p>
    <w:p>
      <w:pPr>
        <w:pStyle w:val="1"/>
        <w:spacing w:before="380" w:after="140" w:line="288" w:lineRule="auto"/>
        <w:ind w:left="0"/>
        <w:jc w:val="left"/>
        <w:outlineLvl w:val="0"/>
      </w:pPr>
      <w:bookmarkStart w:name="heading_0" w:id="0"/>
      <w:r>
        <w:rPr>
          <w:rFonts w:eastAsia="等线" w:ascii="Arial" w:cs="Arial" w:hAnsi="Arial"/>
          <w:b w:val="true"/>
          <w:sz w:val="36"/>
        </w:rPr>
        <w:t>DNW35202-库存台账与库存控制业务方案-拆分需求条目</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1. 拆分结论</w:t>
      </w:r>
      <w:bookmarkEnd w:id="1"/>
    </w:p>
    <w:p>
      <w:pPr>
        <w:spacing w:before="120" w:after="120" w:line="288" w:lineRule="auto"/>
        <w:ind w:left="0"/>
        <w:jc w:val="left"/>
      </w:pPr>
      <w:r>
        <w:rPr>
          <w:rFonts w:eastAsia="等线" w:ascii="Arial" w:cs="Arial" w:hAnsi="Arial"/>
          <w:sz w:val="22"/>
        </w:rPr>
        <w:t>- 是否建议拆分：是</w:t>
        <w:br/>
        <w:t>- 建议拆分条目数：3</w:t>
        <w:br/>
        <w:t>- 拆分主轴：按本期共性交付能力拆分，辅以模块边界和业务触发差异；物料三期间隔时间作为主数据配套条目，入库记录和处理后刷新作为 WMS 执行条目</w:t>
        <w:br/>
      </w:r>
      <w:r>
        <w:rPr>
          <w:rFonts w:eastAsia="等线" w:ascii="Arial" w:cs="Arial" w:hAnsi="Arial"/>
          <w:sz w:val="22"/>
        </w:rPr>
        <w:t>- 不纳入范围：不纳入统一预警生成、消息/待办/看板/报表、风险等级识别、预警关闭流程、线下处置单据/任务、出库前风险提示、三期履历追溯和寿命管理</w:t>
      </w:r>
    </w:p>
    <w:p>
      <w:pPr>
        <w:pStyle w:val="2"/>
        <w:spacing w:before="320" w:after="120" w:line="288" w:lineRule="auto"/>
        <w:ind w:left="0"/>
        <w:jc w:val="left"/>
        <w:outlineLvl w:val="1"/>
      </w:pPr>
      <w:bookmarkStart w:name="heading_2" w:id="2"/>
      <w:r>
        <w:rPr>
          <w:rFonts w:eastAsia="等线" w:ascii="Arial" w:cs="Arial" w:hAnsi="Arial"/>
          <w:b w:val="true"/>
          <w:sz w:val="32"/>
        </w:rPr>
        <w:t>2. 拆分需求条目</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2.1 维护物料三期间隔时间</w:t>
      </w:r>
      <w:bookmarkEnd w:id="3"/>
    </w:p>
    <w:p>
      <w:pPr>
        <w:spacing w:before="120" w:after="120" w:line="288" w:lineRule="auto"/>
        <w:ind w:left="0"/>
        <w:jc w:val="left"/>
      </w:pPr>
      <w:r>
        <w:rPr>
          <w:rFonts w:eastAsia="等线" w:ascii="Arial" w:cs="Arial" w:hAnsi="Arial"/>
          <w:sz w:val="22"/>
        </w:rPr>
        <w:t>- 所属模块：平台主数据/物料主数据</w:t>
        <w:br/>
        <w:t>- 条目类型：基础数据类</w:t>
        <w:br/>
        <w:t>- 对应场景：业务人员在物料主数据上维护贮存期、有效期、油封期对应的间隔时间，供库存对象后续处理后计算下一次需要关注的日期</w:t>
        <w:br/>
        <w:t>- 主要角色：主数据维护人员、仓储业务管理员</w:t>
        <w:br/>
        <w:t>- 触发条件：物料需要按贮存期、有效期或油封期进行周期性管理，且后续需要按固定间隔刷新库存对象三期日期</w:t>
        <w:br/>
        <w:t>- 输入：物料、贮存期间隔时间、有效期间隔时间、油封期间隔时间</w:t>
        <w:br/>
        <w:t>- 输出：物料上的三期间隔时间</w:t>
        <w:br/>
        <w:t>- 关键规则：</w:t>
        <w:br/>
        <w:t xml:space="preserve">  - 三期间隔时间只用于计算处理后的下一次三期日期，不作为是否采集三期日期的开关。</w:t>
        <w:br/>
        <w:t xml:space="preserve">  - 三期间隔时间允许按物料分别维护，未维护时不能自动计算对应类型的下一次日期。</w:t>
        <w:br/>
        <w:t xml:space="preserve">  - 产品不维护物料级三期开关，不按物料主数据控制入库是否必须填写三期日期。</w:t>
        <w:br/>
        <w:t xml:space="preserve">  - 间隔时间的单位和取值范围需统一定义，避免不同项目按天、月、年混用。</w:t>
        <w:br/>
        <w:t>- 验收要点：</w:t>
        <w:br/>
        <w:t xml:space="preserve">  - 可在物料维度维护贮存期、有效期、油封期的间隔时间。</w:t>
        <w:br/>
        <w:t xml:space="preserve">  - 维护后的间隔时间可被 WMS 更新库存三期日期时读取。</w:t>
        <w:br/>
        <w:t xml:space="preserve">  - 未维护某一类间隔时间时，不影响其他三期类型维护和使用。</w:t>
        <w:br/>
        <w:t>- 依赖关系：</w:t>
        <w:br/>
        <w:t xml:space="preserve">  - 被“处理后刷新库存对象三期日期”依赖，用于计算下一次日期。</w:t>
        <w:br/>
        <w:t xml:space="preserve">  - 依赖平台主数据的物料维护能力。</w:t>
        <w:br/>
      </w:r>
      <w:r>
        <w:rPr>
          <w:rFonts w:eastAsia="等线" w:ascii="Arial" w:cs="Arial" w:hAnsi="Arial"/>
          <w:sz w:val="22"/>
        </w:rPr>
        <w:t>- 拆分理由：该能力是本期明确交付点，且属于主数据维护而非入库执行；单独拆出可避免后续 PRD 漏掉物料字段、校验和读取口径。</w:t>
      </w:r>
    </w:p>
    <w:p>
      <w:pPr>
        <w:pStyle w:val="3"/>
        <w:spacing w:before="300" w:after="120" w:line="288" w:lineRule="auto"/>
        <w:ind w:left="0"/>
        <w:jc w:val="left"/>
        <w:outlineLvl w:val="2"/>
      </w:pPr>
      <w:bookmarkStart w:name="heading_4" w:id="4"/>
      <w:r>
        <w:rPr>
          <w:rFonts w:eastAsia="等线" w:ascii="Arial" w:cs="Arial" w:hAnsi="Arial"/>
          <w:b w:val="true"/>
          <w:sz w:val="30"/>
        </w:rPr>
        <w:t>2.2 入库记录库存对象三期信息</w:t>
      </w:r>
      <w:bookmarkEnd w:id="4"/>
    </w:p>
    <w:p>
      <w:pPr>
        <w:spacing w:before="120" w:after="120" w:line="288" w:lineRule="auto"/>
        <w:ind w:left="0"/>
        <w:jc w:val="left"/>
      </w:pPr>
      <w:r>
        <w:rPr>
          <w:rFonts w:eastAsia="等线" w:ascii="Arial" w:cs="Arial" w:hAnsi="Arial"/>
          <w:sz w:val="22"/>
        </w:rPr>
        <w:t>- 所属模块：WMS 仓储管理模块</w:t>
        <w:br/>
        <w:t>- 条目类型：业务执行类</w:t>
        <w:br/>
        <w:t>- 对应场景：库管员办理采购入库、退料入库或半成品入库时，按项目或现场要求记录库存对象的贮存期、有效期、油封期</w:t>
        <w:br/>
        <w:t>- 主要角色：库管员</w:t>
        <w:br/>
        <w:t>- 触发条件：入库单确认入库，或入库明细通过上游带入、现场扫码、人工录入补充三期日期</w:t>
        <w:br/>
        <w:t>- 输入：入库单明细、物料、批次号或序列号、库房、库位、来源单据、贮存期、有效期、油封期</w:t>
        <w:br/>
        <w:t>- 输出：库存三期台账数据；入库单据、库存对象与库存三期台账的关联关系</w:t>
        <w:br/>
        <w:t>- 关键规则：</w:t>
        <w:br/>
        <w:t xml:space="preserve">  - 三期信息以库存记录为管理粒度，需能追溯到物料、批次号或序列号、库房、库位和来源单据。</w:t>
        <w:br/>
        <w:t xml:space="preserve">  - 产品不维护物料级三期开关，不用物料主数据控制是否采集三期日期。</w:t>
        <w:br/>
        <w:t xml:space="preserve">  - 入库时未提供的三期日期不强制补录。</w:t>
        <w:br/>
        <w:t xml:space="preserve">  - 序列号管理物料默认按单件库存数量管理。</w:t>
        <w:br/>
        <w:t xml:space="preserve">  - 入库成功后，三期日期需写入库存三期台账，供项目侧预警识别使用。</w:t>
        <w:br/>
        <w:t>- 验收要点：</w:t>
        <w:br/>
        <w:t xml:space="preserve">  - 入库确认时可记录贮存期、有效期、油封期。</w:t>
        <w:br/>
        <w:t xml:space="preserve">  - 入库后可按物料、批次号或序列号、库房、库位、来源单据追溯三期日期。</w:t>
        <w:br/>
        <w:t xml:space="preserve">  - 未填写某一类三期日期时，不阻断正常入库。</w:t>
        <w:br/>
        <w:t xml:space="preserve">  - 已记录的三期日期可通过库存三期台账被库存查询或项目扩展能力读取。</w:t>
        <w:br/>
        <w:t>- 依赖关系：</w:t>
        <w:br/>
        <w:t xml:space="preserve">  - 依赖平台主数据的物料、库房、库位能力。</w:t>
        <w:br/>
        <w:t xml:space="preserve">  - 依赖 WMS 现有入库单、入库确认、库存生成能力。</w:t>
        <w:br/>
        <w:t xml:space="preserve">  - 依赖后续条目“处理后刷新库存对象三期日期”继续维护当前有效三期日期。</w:t>
        <w:br/>
      </w:r>
      <w:r>
        <w:rPr>
          <w:rFonts w:eastAsia="等线" w:ascii="Arial" w:cs="Arial" w:hAnsi="Arial"/>
          <w:sz w:val="22"/>
        </w:rPr>
        <w:t>- 拆分理由：该条目围绕“入库生成库存三期数据”形成独立闭环，触发点在入库确认，主要角色为库管员，可独立开发和验收。</w:t>
      </w:r>
    </w:p>
    <w:p>
      <w:pPr>
        <w:pStyle w:val="3"/>
        <w:spacing w:before="300" w:after="120" w:line="288" w:lineRule="auto"/>
        <w:ind w:left="0"/>
        <w:jc w:val="left"/>
        <w:outlineLvl w:val="2"/>
      </w:pPr>
      <w:bookmarkStart w:name="heading_5" w:id="5"/>
      <w:r>
        <w:rPr>
          <w:rFonts w:eastAsia="等线" w:ascii="Arial" w:cs="Arial" w:hAnsi="Arial"/>
          <w:b w:val="true"/>
          <w:sz w:val="30"/>
        </w:rPr>
        <w:t>2.3 处理后刷新库存对象三期日期</w:t>
      </w:r>
      <w:bookmarkEnd w:id="5"/>
    </w:p>
    <w:p>
      <w:pPr>
        <w:spacing w:before="120" w:after="120" w:line="288" w:lineRule="auto"/>
        <w:ind w:left="0"/>
        <w:jc w:val="left"/>
      </w:pPr>
      <w:r>
        <w:rPr>
          <w:rFonts w:eastAsia="等线" w:ascii="Arial" w:cs="Arial" w:hAnsi="Arial"/>
          <w:sz w:val="22"/>
        </w:rPr>
        <w:t>- 所属模块：WMS 仓储管理模块</w:t>
        <w:br/>
        <w:t>- 条目类型：协同追踪类</w:t>
        <w:br/>
        <w:t>- 对应场景：业务人员在线下完成油封、复检、隔离、报废等处置后，定位具体库存对象，并按物料对应三期间隔时间刷新该库存对象的贮存期、有效期或油封期日期</w:t>
        <w:br/>
        <w:t>- 主要角色：业务处理责任人、库管员</w:t>
        <w:br/>
        <w:t>- 触发条件：库存对象已存在三期台账数据，且现场已完成对应线下处置，需要继续纳入项目侧后续预警</w:t>
        <w:br/>
        <w:t>- 输入：库存对象、三期类型、用户填入的起算日期、物料对应三期间隔时间</w:t>
        <w:br/>
        <w:t>- 输出：库存三期台账中更新后的贮存期、有效期或油封期日期</w:t>
        <w:br/>
        <w:t>- 关键规则：</w:t>
        <w:br/>
        <w:t xml:space="preserve">  - 更新对象必须定位到具体库存对象，至少能够区分物料、批次号或序列号、库房、库位。</w:t>
        <w:br/>
        <w:t xml:space="preserve">  - 刷新后的三期日期按用户填入的起算日期加物料对应三期间隔时间计算。</w:t>
        <w:br/>
        <w:t xml:space="preserve">  - 产品只更新库存三期台账中的当前有效日期，不生成标准预警单。</w:t>
        <w:br/>
        <w:t xml:space="preserve">  - 产品不判断油封、复检、隔离、报废等现场处置是否完成。</w:t>
        <w:br/>
        <w:t xml:space="preserve">  - 如项目需要处理说明、关闭原因、变更履历或审批，应在项目侧扩展。</w:t>
        <w:br/>
        <w:t>- 验收要点：</w:t>
        <w:br/>
        <w:t xml:space="preserve">  - 用户可定位具体库存对象并选择要更新的三期类型。</w:t>
        <w:br/>
        <w:t xml:space="preserve">  - 系统可读取物料对应的贮存期、有效期、油封期间隔时间。</w:t>
        <w:br/>
        <w:t xml:space="preserve">  - 系统按用户填入的起算日期和间隔时间计算并保存新的三期日期。</w:t>
        <w:br/>
        <w:t xml:space="preserve">  - 更新后的日期可继续被库存查询或项目预警扩展能力读取。</w:t>
        <w:br/>
        <w:t>- 依赖关系：</w:t>
        <w:br/>
        <w:t xml:space="preserve">  - 依赖“入库记录库存对象三期信息”生成可定位的库存三期数据。</w:t>
        <w:br/>
        <w:t xml:space="preserve">  - 依赖“维护物料三期间隔时间”提供对应三期类型的间隔时间。</w:t>
        <w:br/>
        <w:t xml:space="preserve">  - 依赖用户在刷新时填入本次计算所依据的起算日期。</w:t>
        <w:br/>
      </w:r>
      <w:r>
        <w:rPr>
          <w:rFonts w:eastAsia="等线" w:ascii="Arial" w:cs="Arial" w:hAnsi="Arial"/>
          <w:sz w:val="22"/>
        </w:rPr>
        <w:t>- 拆分理由：该条目围绕“线下处理后的线上日期延续维护”形成独立闭环，触发点和角色不同于入库记录，且可独立验证日期计算与保存结果；名称避免误解为产品本期会生成独立预警单。</w:t>
      </w:r>
    </w:p>
    <w:p>
      <w:pPr>
        <w:pStyle w:val="2"/>
        <w:spacing w:before="320" w:after="120" w:line="288" w:lineRule="auto"/>
        <w:ind w:left="0"/>
        <w:jc w:val="left"/>
        <w:outlineLvl w:val="1"/>
      </w:pPr>
      <w:bookmarkStart w:name="heading_6" w:id="6"/>
      <w:r>
        <w:rPr>
          <w:rFonts w:eastAsia="等线" w:ascii="Arial" w:cs="Arial" w:hAnsi="Arial"/>
          <w:b w:val="true"/>
          <w:sz w:val="32"/>
        </w:rPr>
        <w:t>3. 边界说明</w:t>
      </w:r>
      <w:bookmarkEnd w:id="6"/>
    </w:p>
    <w:p>
      <w:pPr>
        <w:pStyle w:val="3"/>
        <w:spacing w:before="300" w:after="120" w:line="288" w:lineRule="auto"/>
        <w:ind w:left="0"/>
        <w:jc w:val="left"/>
        <w:outlineLvl w:val="2"/>
      </w:pPr>
      <w:bookmarkStart w:name="heading_7" w:id="7"/>
      <w:r>
        <w:rPr>
          <w:rFonts w:eastAsia="等线" w:ascii="Arial" w:cs="Arial" w:hAnsi="Arial"/>
          <w:b w:val="true"/>
          <w:sz w:val="30"/>
        </w:rPr>
        <w:t>本期纳入</w:t>
      </w:r>
      <w:bookmarkEnd w:id="7"/>
    </w:p>
    <w:p>
      <w:pPr>
        <w:spacing w:before="120" w:after="120" w:line="288" w:lineRule="auto"/>
        <w:ind w:left="0"/>
        <w:jc w:val="left"/>
      </w:pPr>
      <w:r>
        <w:rPr>
          <w:rFonts w:eastAsia="等线" w:ascii="Arial" w:cs="Arial" w:hAnsi="Arial"/>
          <w:sz w:val="22"/>
        </w:rPr>
        <w:t>- 物料上维护或提供贮存期、有效期、油封期对应间隔时间。</w:t>
        <w:br/>
        <w:t>- 入库时记录库存对象的贮存期、有效期、油封期。</w:t>
        <w:br/>
        <w:t>- 入库成功后将三期日期与库存对象、批次号或序列号、库房、库位、来源单据关联保存。</w:t>
        <w:br/>
        <w:t>- 建设库存三期台账，承载库存对象当前有效的贮存期、有效期、油封期。</w:t>
        <w:br/>
      </w:r>
      <w:r>
        <w:rPr>
          <w:rFonts w:eastAsia="等线" w:ascii="Arial" w:cs="Arial" w:hAnsi="Arial"/>
          <w:sz w:val="22"/>
        </w:rPr>
        <w:t>- 在线下处置完成后，按用户填入的起算日期、三期类型和物料间隔时间更新库存三期台账中的当前有效三期日期。</w:t>
      </w:r>
    </w:p>
    <w:p>
      <w:pPr>
        <w:pStyle w:val="3"/>
        <w:spacing w:before="300" w:after="120" w:line="288" w:lineRule="auto"/>
        <w:ind w:left="0"/>
        <w:jc w:val="left"/>
        <w:outlineLvl w:val="2"/>
      </w:pPr>
      <w:bookmarkStart w:name="heading_8" w:id="8"/>
      <w:r>
        <w:rPr>
          <w:rFonts w:eastAsia="等线" w:ascii="Arial" w:cs="Arial" w:hAnsi="Arial"/>
          <w:b w:val="true"/>
          <w:sz w:val="30"/>
        </w:rPr>
        <w:t>本期不纳入</w:t>
      </w:r>
      <w:bookmarkEnd w:id="8"/>
    </w:p>
    <w:p>
      <w:pPr>
        <w:spacing w:before="120" w:after="120" w:line="288" w:lineRule="auto"/>
        <w:ind w:left="0"/>
        <w:jc w:val="left"/>
      </w:pPr>
      <w:r>
        <w:rPr>
          <w:rFonts w:eastAsia="等线" w:ascii="Arial" w:cs="Arial" w:hAnsi="Arial"/>
          <w:sz w:val="22"/>
        </w:rPr>
        <w:t>- 不维护物料级三期开关。</w:t>
        <w:br/>
        <w:t>- 不建设统一临期、到期、超期识别规则。</w:t>
        <w:br/>
        <w:t>- 不建设统一预警单、风险等级、关闭状态、关闭原因、处理说明。</w:t>
        <w:br/>
        <w:t>- 不建设消息、待办、看板、报表、定时任务等统一提醒方式。</w:t>
        <w:br/>
        <w:t>- 不建设油封、复检、隔离、报废等线上处置流程。</w:t>
        <w:br/>
        <w:t>- 不在出库、领用、拣配前提供三期风险提示或强弱校验。</w:t>
        <w:br/>
        <w:t>- 不建设三期更正审批、三期日期变更履历、独立追溯页面。</w:t>
        <w:br/>
      </w:r>
      <w:r>
        <w:rPr>
          <w:rFonts w:eastAsia="等线" w:ascii="Arial" w:cs="Arial" w:hAnsi="Arial"/>
          <w:sz w:val="22"/>
        </w:rPr>
        <w:t>- 不纳入寿命管理。</w:t>
      </w:r>
    </w:p>
    <w:p>
      <w:pPr>
        <w:pStyle w:val="3"/>
        <w:spacing w:before="300" w:after="120" w:line="288" w:lineRule="auto"/>
        <w:ind w:left="0"/>
        <w:jc w:val="left"/>
        <w:outlineLvl w:val="2"/>
      </w:pPr>
      <w:bookmarkStart w:name="heading_9" w:id="9"/>
      <w:r>
        <w:rPr>
          <w:rFonts w:eastAsia="等线" w:ascii="Arial" w:cs="Arial" w:hAnsi="Arial"/>
          <w:b w:val="true"/>
          <w:sz w:val="30"/>
        </w:rPr>
        <w:t>线下处理但系统留痕</w:t>
      </w:r>
      <w:bookmarkEnd w:id="9"/>
    </w:p>
    <w:p>
      <w:pPr>
        <w:spacing w:before="120" w:after="120" w:line="288" w:lineRule="auto"/>
        <w:ind w:left="0"/>
        <w:jc w:val="left"/>
      </w:pPr>
      <w:r>
        <w:rPr>
          <w:rFonts w:eastAsia="等线" w:ascii="Arial" w:cs="Arial" w:hAnsi="Arial"/>
          <w:sz w:val="22"/>
        </w:rPr>
        <w:t>- 油封、复检、隔离、报废等处置动作在线下完成，产品本期不判断处置是否真实完成。</w:t>
        <w:br/>
      </w:r>
      <w:r>
        <w:rPr>
          <w:rFonts w:eastAsia="等线" w:ascii="Arial" w:cs="Arial" w:hAnsi="Arial"/>
          <w:sz w:val="22"/>
        </w:rPr>
        <w:t>- 产品本期在库存三期台账中保留更新后的当前有效三期日期；处理说明、处置凭证、关闭原因和全流程时间线不作为标准产品能力。</w:t>
      </w:r>
    </w:p>
    <w:p>
      <w:pPr>
        <w:pStyle w:val="2"/>
        <w:spacing w:before="320" w:after="120" w:line="288" w:lineRule="auto"/>
        <w:ind w:left="0"/>
        <w:jc w:val="left"/>
        <w:outlineLvl w:val="1"/>
      </w:pPr>
      <w:bookmarkStart w:name="heading_10" w:id="10"/>
      <w:r>
        <w:rPr>
          <w:rFonts w:eastAsia="等线" w:ascii="Arial" w:cs="Arial" w:hAnsi="Arial"/>
          <w:b w:val="true"/>
          <w:sz w:val="32"/>
        </w:rPr>
        <w:t xml:space="preserve">4. </w:t>
      </w:r>
      <w:r>
        <w:rPr>
          <w:rFonts w:eastAsia="等线" w:ascii="Arial" w:cs="Arial" w:hAnsi="Arial"/>
          <w:b w:val="true"/>
          <w:sz w:val="32"/>
        </w:rPr>
        <w:t>已</w:t>
      </w:r>
      <w:r>
        <w:rPr>
          <w:rFonts w:eastAsia="等线" w:ascii="Arial" w:cs="Arial" w:hAnsi="Arial"/>
          <w:b w:val="true"/>
          <w:sz w:val="32"/>
        </w:rPr>
        <w:t>确认项</w:t>
      </w:r>
      <w:bookmarkEnd w:id="10"/>
    </w:p>
    <w:p>
      <w:pPr>
        <w:numPr>
          <w:numId w:val="1"/>
        </w:numPr>
        <w:spacing w:before="120" w:after="120" w:line="288" w:lineRule="auto"/>
        <w:ind w:left="0"/>
        <w:jc w:val="left"/>
      </w:pPr>
      <w:r>
        <w:rPr>
          <w:rFonts w:eastAsia="等线" w:ascii="Arial" w:cs="Arial" w:hAnsi="Arial"/>
          <w:sz w:val="22"/>
        </w:rPr>
        <w:t>不新建独立库存三期台账表/对象，三期直接作为 Inventory 库存对象字段维护；库存三期台账基于现有库存查询/库存列表展示。</w:t>
      </w:r>
    </w:p>
    <w:p>
      <w:pPr>
        <w:numPr>
          <w:numId w:val="2"/>
        </w:numPr>
        <w:spacing w:before="120" w:after="120" w:line="288" w:lineRule="auto"/>
        <w:ind w:left="0"/>
        <w:jc w:val="left"/>
      </w:pPr>
      <w:r>
        <w:rPr>
          <w:rFonts w:eastAsia="等线" w:ascii="Arial" w:cs="Arial" w:hAnsi="Arial"/>
          <w:sz w:val="22"/>
        </w:rPr>
        <w:t>库存对象增加“贮存期、有效期、油封期”，含义为当前库存的到期日期/下次应处理日期。</w:t>
      </w:r>
    </w:p>
    <w:p>
      <w:pPr>
        <w:numPr>
          <w:numId w:val="3"/>
        </w:numPr>
        <w:spacing w:before="120" w:after="120" w:line="288" w:lineRule="auto"/>
        <w:ind w:left="0"/>
        <w:jc w:val="left"/>
      </w:pPr>
      <w:r>
        <w:rPr>
          <w:rFonts w:eastAsia="等线" w:ascii="Arial" w:cs="Arial" w:hAnsi="Arial"/>
          <w:sz w:val="22"/>
        </w:rPr>
        <w:t>物料对象增加“贮存期间隔时间、有效期间隔时间、油封期间隔时间”，单位为天；三个间隔时间允许为空，本期不增加三期启用标记。</w:t>
      </w:r>
    </w:p>
    <w:p>
      <w:pPr>
        <w:numPr>
          <w:numId w:val="4"/>
        </w:numPr>
        <w:spacing w:before="120" w:after="120" w:line="288" w:lineRule="auto"/>
        <w:ind w:left="0"/>
        <w:jc w:val="left"/>
      </w:pPr>
      <w:r>
        <w:rPr>
          <w:rFonts w:eastAsia="等线" w:ascii="Arial" w:cs="Arial" w:hAnsi="Arial"/>
          <w:sz w:val="22"/>
        </w:rPr>
        <w:t>三期日期不参与库存桶 key，库存仍按现有库存标识和状态合并；同一库存桶只保留一组三期，不拆分、不保留多组三期。</w:t>
      </w:r>
    </w:p>
    <w:p>
      <w:pPr>
        <w:numPr>
          <w:numId w:val="5"/>
        </w:numPr>
        <w:spacing w:before="120" w:after="120" w:line="288" w:lineRule="auto"/>
        <w:ind w:left="0"/>
        <w:jc w:val="left"/>
      </w:pPr>
      <w:r>
        <w:rPr>
          <w:rFonts w:eastAsia="等线" w:ascii="Arial" w:cs="Arial" w:hAnsi="Arial"/>
          <w:sz w:val="22"/>
        </w:rPr>
        <w:t>入库时填写的是三期到期日期；新建库存时，用户填什么保存什么，未填写的三期可以为空。</w:t>
      </w:r>
    </w:p>
    <w:p>
      <w:pPr>
        <w:numPr>
          <w:numId w:val="6"/>
        </w:numPr>
        <w:spacing w:before="120" w:after="120" w:line="288" w:lineRule="auto"/>
        <w:ind w:left="0"/>
        <w:jc w:val="left"/>
      </w:pPr>
      <w:r>
        <w:rPr>
          <w:rFonts w:eastAsia="等线" w:ascii="Arial" w:cs="Arial" w:hAnsi="Arial"/>
          <w:sz w:val="22"/>
        </w:rPr>
        <w:t>入库命中已有库存时，库存三期按本次填写结果覆盖；空值会覆盖已有的三期数值。</w:t>
      </w:r>
    </w:p>
    <w:p>
      <w:pPr>
        <w:numPr>
          <w:numId w:val="7"/>
        </w:numPr>
        <w:spacing w:before="120" w:after="120" w:line="288" w:lineRule="auto"/>
        <w:ind w:left="0"/>
        <w:jc w:val="left"/>
      </w:pPr>
      <w:r>
        <w:rPr>
          <w:rFonts w:eastAsia="等线" w:ascii="Arial" w:cs="Arial" w:hAnsi="Arial"/>
          <w:sz w:val="22"/>
        </w:rPr>
        <w:t>三期不只落库存对象，单据侧三期需要落明细，不落主表。入库申请单明细, 入库单明细增加三期的历史快照，出库申请单明细, 出库单明细增加三期的历史快照。</w:t>
      </w:r>
    </w:p>
    <w:p>
      <w:pPr>
        <w:numPr>
          <w:numId w:val="8"/>
        </w:numPr>
        <w:spacing w:before="120" w:after="120" w:line="288" w:lineRule="auto"/>
        <w:ind w:left="0"/>
        <w:jc w:val="left"/>
      </w:pPr>
      <w:r>
        <w:rPr>
          <w:rFonts w:eastAsia="等线" w:ascii="Arial" w:cs="Arial" w:hAnsi="Arial"/>
          <w:sz w:val="22"/>
        </w:rPr>
        <w:t>三期处理按“三期类型”单独操作。用户一次只能选择一个三期类型进行更新或批量更新，例如本次只更新“有效期”，不会同时更新贮存期、油封期。</w:t>
      </w:r>
    </w:p>
    <w:p>
      <w:pPr>
        <w:numPr>
          <w:numId w:val="9"/>
        </w:numPr>
        <w:spacing w:before="120" w:after="120" w:line="288" w:lineRule="auto"/>
        <w:ind w:left="0"/>
        <w:jc w:val="left"/>
      </w:pPr>
      <w:r>
        <w:rPr>
          <w:rFonts w:eastAsia="等线" w:ascii="Arial" w:cs="Arial" w:hAnsi="Arial"/>
          <w:sz w:val="22"/>
        </w:rPr>
        <w:t>提供库存三期处理入口。用户选择库存和三期类型后，后端返回该库存对应物料的对应三期间隔时间，以及库存当前该三期日期。</w:t>
      </w:r>
    </w:p>
    <w:p>
      <w:pPr>
        <w:numPr>
          <w:numId w:val="10"/>
        </w:numPr>
        <w:spacing w:before="120" w:after="120" w:line="288" w:lineRule="auto"/>
        <w:ind w:left="0"/>
        <w:jc w:val="left"/>
      </w:pPr>
      <w:r>
        <w:rPr>
          <w:rFonts w:eastAsia="等线" w:ascii="Arial" w:cs="Arial" w:hAnsi="Arial"/>
          <w:sz w:val="22"/>
        </w:rPr>
        <w:t>前端按“用户填写的处理日期 + 后端返回的物料对应间隔时间”计算默认的新三期到期日期；用户可以手动修改该到期日期。</w:t>
      </w:r>
    </w:p>
    <w:p>
      <w:pPr>
        <w:numPr>
          <w:numId w:val="11"/>
        </w:numPr>
        <w:spacing w:before="120" w:after="120" w:line="288" w:lineRule="auto"/>
        <w:ind w:left="0"/>
        <w:jc w:val="left"/>
      </w:pPr>
      <w:r>
        <w:rPr>
          <w:rFonts w:eastAsia="等线" w:ascii="Arial" w:cs="Arial" w:hAnsi="Arial"/>
          <w:sz w:val="22"/>
        </w:rPr>
        <w:t>如果物料对应间隔时间为空，则默认按 0 天计算，即默认新三期到期日期等于用户填写的处理日期；该场景需要给用户弱校验提示，用户确认后才允许继续。</w:t>
      </w:r>
    </w:p>
    <w:p>
      <w:pPr>
        <w:numPr>
          <w:numId w:val="12"/>
        </w:numPr>
        <w:spacing w:before="120" w:after="120" w:line="288" w:lineRule="auto"/>
        <w:ind w:left="0"/>
        <w:jc w:val="left"/>
      </w:pPr>
      <w:r>
        <w:rPr>
          <w:rFonts w:eastAsia="等线" w:ascii="Arial" w:cs="Arial" w:hAnsi="Arial"/>
          <w:sz w:val="22"/>
        </w:rPr>
        <w:t>用户确认后，将用户最终确认的新三期到期日期提交后端，并保存到库存对象对应三期字段上；如果用户未修改，则提交前端默认计算出的日期，如果用户修改，则提交用户修改后的日期。</w:t>
      </w:r>
    </w:p>
    <w:p>
      <w:pPr>
        <w:numPr>
          <w:numId w:val="13"/>
        </w:numPr>
        <w:spacing w:before="120" w:after="120" w:line="288" w:lineRule="auto"/>
        <w:ind w:left="0"/>
        <w:jc w:val="left"/>
      </w:pPr>
      <w:r>
        <w:rPr>
          <w:rFonts w:eastAsia="等线" w:ascii="Arial" w:cs="Arial" w:hAnsi="Arial"/>
          <w:sz w:val="22"/>
        </w:rPr>
        <w:t>如果用户清空该三期日期，则表示清空库存上对应的三期日期，系统需给用户弱校验提示；用户确认后才清空。</w:t>
      </w:r>
    </w:p>
    <w:p>
      <w:pPr>
        <w:numPr>
          <w:numId w:val="14"/>
        </w:numPr>
        <w:spacing w:before="120" w:after="120" w:line="288" w:lineRule="auto"/>
        <w:ind w:left="0"/>
        <w:jc w:val="left"/>
      </w:pPr>
      <w:r>
        <w:rPr>
          <w:rFonts w:eastAsia="等线" w:ascii="Arial" w:cs="Arial" w:hAnsi="Arial"/>
          <w:sz w:val="22"/>
        </w:rPr>
        <w:t>批量三期处理整体校验/更新；任一库存失败，则整批失败，不更新任何库存，并返回具体失败原因。</w:t>
      </w:r>
    </w:p>
    <w:p>
      <w:pPr>
        <w:numPr>
          <w:numId w:val="15"/>
        </w:numPr>
        <w:spacing w:before="120" w:after="120" w:line="288" w:lineRule="auto"/>
        <w:ind w:left="0"/>
        <w:jc w:val="left"/>
      </w:pPr>
      <w:r>
        <w:rPr>
          <w:rFonts w:eastAsia="等线" w:ascii="Arial" w:cs="Arial" w:hAnsi="Arial"/>
          <w:sz w:val="22"/>
        </w:rPr>
        <w:t>日期计算按自然日：新三期到期时间 = 用户填写的处理日期 + 物料对应间隔天数。</w:t>
      </w:r>
    </w:p>
    <w:p>
      <w:pPr>
        <w:numPr>
          <w:numId w:val="16"/>
        </w:numPr>
        <w:spacing w:before="120" w:after="120" w:line="288" w:lineRule="auto"/>
        <w:ind w:left="0"/>
        <w:jc w:val="left"/>
      </w:pPr>
      <w:r>
        <w:rPr>
          <w:rFonts w:eastAsia="等线" w:ascii="Arial" w:cs="Arial" w:hAnsi="Arial"/>
          <w:sz w:val="22"/>
        </w:rPr>
        <w:t>三期处理日期允许晚于或早于当前三期到期日；允许补录/预录，即处理日期早于或晚于当前日期。</w:t>
      </w:r>
    </w:p>
    <w:p>
      <w:pPr>
        <w:numPr>
          <w:numId w:val="17"/>
        </w:numPr>
        <w:spacing w:before="120" w:after="120" w:line="288" w:lineRule="auto"/>
        <w:ind w:left="0"/>
        <w:jc w:val="left"/>
      </w:pPr>
      <w:r>
        <w:rPr>
          <w:rFonts w:eastAsia="等线" w:ascii="Arial" w:cs="Arial" w:hAnsi="Arial"/>
          <w:sz w:val="22"/>
        </w:rPr>
        <w:t>入库填写的三期到期日期允许早于入库日期。</w:t>
      </w:r>
    </w:p>
    <w:p>
      <w:pPr>
        <w:numPr>
          <w:numId w:val="18"/>
        </w:numPr>
        <w:spacing w:before="120" w:after="120" w:line="288" w:lineRule="auto"/>
        <w:ind w:left="0"/>
        <w:jc w:val="left"/>
      </w:pPr>
      <w:r>
        <w:rPr>
          <w:rFonts w:eastAsia="等线" w:ascii="Arial" w:cs="Arial" w:hAnsi="Arial"/>
          <w:sz w:val="22"/>
        </w:rPr>
        <w:t>库存三期台账沿用现有库存查询口径，默认展示库存数量大于 0 的记录；三期为空的库存仍正常展示。</w:t>
      </w:r>
    </w:p>
    <w:p>
      <w:pPr>
        <w:numPr>
          <w:numId w:val="19"/>
        </w:numPr>
        <w:spacing w:before="120" w:after="120" w:line="288" w:lineRule="auto"/>
        <w:ind w:left="0"/>
        <w:jc w:val="left"/>
      </w:pPr>
      <w:r>
        <w:rPr>
          <w:rFonts w:eastAsia="等线" w:ascii="Arial" w:cs="Arial" w:hAnsi="Arial"/>
          <w:sz w:val="22"/>
        </w:rPr>
        <w:t>本期不新增专门的三期筛选/排序条件，不做预警任务、预警消息、待办、看板、预警关闭等能力。</w:t>
      </w:r>
    </w:p>
    <w:p>
      <w:pPr>
        <w:numPr>
          <w:numId w:val="20"/>
        </w:numPr>
        <w:spacing w:before="120" w:after="120" w:line="288" w:lineRule="auto"/>
        <w:ind w:left="0"/>
        <w:jc w:val="left"/>
      </w:pPr>
      <w:r>
        <w:rPr>
          <w:rFonts w:eastAsia="等线" w:ascii="Arial" w:cs="Arial" w:hAnsi="Arial"/>
          <w:sz w:val="22"/>
        </w:rPr>
        <w:t>手工三期处理只面向库存数量 qty &gt; 0 的库存；库存有占用数量也允许处理。</w:t>
      </w:r>
    </w:p>
    <w:p>
      <w:pPr>
        <w:numPr>
          <w:numId w:val="21"/>
        </w:numPr>
        <w:spacing w:before="120" w:after="120" w:line="288" w:lineRule="auto"/>
        <w:ind w:left="0"/>
        <w:jc w:val="left"/>
      </w:pPr>
      <w:r>
        <w:rPr>
          <w:rFonts w:eastAsia="等线" w:ascii="Arial" w:cs="Arial" w:hAnsi="Arial"/>
          <w:sz w:val="22"/>
        </w:rPr>
        <w:t>手工三期处理必须有权限控制（默认自带）和系统操作日志；入库确认/更新三期则沿用入库确认权限和日志。</w:t>
      </w:r>
    </w:p>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53066">
    <w:lvl>
      <w:start w:val="1"/>
      <w:numFmt w:val="decimal"/>
      <w:suff w:val="tab"/>
      <w:lvlText w:val="%1."/>
      <w:rPr>
        <w:color w:val="3370ff"/>
      </w:rPr>
    </w:lvl>
  </w:abstractNum>
  <w:abstractNum w:abstractNumId="453067">
    <w:lvl>
      <w:start w:val="2"/>
      <w:numFmt w:val="decimal"/>
      <w:suff w:val="tab"/>
      <w:lvlText w:val="%1."/>
      <w:rPr>
        <w:color w:val="3370ff"/>
      </w:rPr>
    </w:lvl>
  </w:abstractNum>
  <w:abstractNum w:abstractNumId="453068">
    <w:lvl>
      <w:start w:val="3"/>
      <w:numFmt w:val="decimal"/>
      <w:suff w:val="tab"/>
      <w:lvlText w:val="%1."/>
      <w:rPr>
        <w:color w:val="3370ff"/>
      </w:rPr>
    </w:lvl>
  </w:abstractNum>
  <w:abstractNum w:abstractNumId="453069">
    <w:lvl>
      <w:start w:val="4"/>
      <w:numFmt w:val="decimal"/>
      <w:suff w:val="tab"/>
      <w:lvlText w:val="%1."/>
      <w:rPr>
        <w:color w:val="3370ff"/>
      </w:rPr>
    </w:lvl>
  </w:abstractNum>
  <w:abstractNum w:abstractNumId="453070">
    <w:lvl>
      <w:start w:val="5"/>
      <w:numFmt w:val="decimal"/>
      <w:suff w:val="tab"/>
      <w:lvlText w:val="%1."/>
      <w:rPr>
        <w:color w:val="3370ff"/>
      </w:rPr>
    </w:lvl>
  </w:abstractNum>
  <w:abstractNum w:abstractNumId="453071">
    <w:lvl>
      <w:start w:val="6"/>
      <w:numFmt w:val="decimal"/>
      <w:suff w:val="tab"/>
      <w:lvlText w:val="%1."/>
      <w:rPr>
        <w:color w:val="3370ff"/>
      </w:rPr>
    </w:lvl>
  </w:abstractNum>
  <w:abstractNum w:abstractNumId="453072">
    <w:lvl>
      <w:start w:val="7"/>
      <w:numFmt w:val="decimal"/>
      <w:suff w:val="tab"/>
      <w:lvlText w:val="%1."/>
      <w:rPr>
        <w:color w:val="3370ff"/>
      </w:rPr>
    </w:lvl>
  </w:abstractNum>
  <w:abstractNum w:abstractNumId="453073">
    <w:lvl>
      <w:start w:val="8"/>
      <w:numFmt w:val="decimal"/>
      <w:suff w:val="tab"/>
      <w:lvlText w:val="%1."/>
      <w:rPr>
        <w:color w:val="3370ff"/>
      </w:rPr>
    </w:lvl>
  </w:abstractNum>
  <w:abstractNum w:abstractNumId="453074">
    <w:lvl>
      <w:start w:val="9"/>
      <w:numFmt w:val="decimal"/>
      <w:suff w:val="tab"/>
      <w:lvlText w:val="%1."/>
      <w:rPr>
        <w:color w:val="3370ff"/>
      </w:rPr>
    </w:lvl>
  </w:abstractNum>
  <w:abstractNum w:abstractNumId="453075">
    <w:lvl>
      <w:start w:val="10"/>
      <w:numFmt w:val="decimal"/>
      <w:suff w:val="tab"/>
      <w:lvlText w:val="%1."/>
      <w:rPr>
        <w:color w:val="3370ff"/>
      </w:rPr>
    </w:lvl>
  </w:abstractNum>
  <w:abstractNum w:abstractNumId="453076">
    <w:lvl>
      <w:start w:val="11"/>
      <w:numFmt w:val="decimal"/>
      <w:suff w:val="tab"/>
      <w:lvlText w:val="%1."/>
      <w:rPr>
        <w:color w:val="3370ff"/>
      </w:rPr>
    </w:lvl>
  </w:abstractNum>
  <w:abstractNum w:abstractNumId="453077">
    <w:lvl>
      <w:start w:val="12"/>
      <w:numFmt w:val="decimal"/>
      <w:suff w:val="tab"/>
      <w:lvlText w:val="%1."/>
      <w:rPr>
        <w:color w:val="3370ff"/>
      </w:rPr>
    </w:lvl>
  </w:abstractNum>
  <w:abstractNum w:abstractNumId="453078">
    <w:lvl>
      <w:start w:val="13"/>
      <w:numFmt w:val="decimal"/>
      <w:suff w:val="tab"/>
      <w:lvlText w:val="%1."/>
      <w:rPr>
        <w:color w:val="3370ff"/>
      </w:rPr>
    </w:lvl>
  </w:abstractNum>
  <w:abstractNum w:abstractNumId="453079">
    <w:lvl>
      <w:start w:val="14"/>
      <w:numFmt w:val="decimal"/>
      <w:suff w:val="tab"/>
      <w:lvlText w:val="%1."/>
      <w:rPr>
        <w:color w:val="3370ff"/>
      </w:rPr>
    </w:lvl>
  </w:abstractNum>
  <w:abstractNum w:abstractNumId="453080">
    <w:lvl>
      <w:start w:val="15"/>
      <w:numFmt w:val="decimal"/>
      <w:suff w:val="tab"/>
      <w:lvlText w:val="%1."/>
      <w:rPr>
        <w:color w:val="3370ff"/>
      </w:rPr>
    </w:lvl>
  </w:abstractNum>
  <w:abstractNum w:abstractNumId="453081">
    <w:lvl>
      <w:start w:val="16"/>
      <w:numFmt w:val="decimal"/>
      <w:suff w:val="tab"/>
      <w:lvlText w:val="%1."/>
      <w:rPr>
        <w:color w:val="3370ff"/>
      </w:rPr>
    </w:lvl>
  </w:abstractNum>
  <w:abstractNum w:abstractNumId="453082">
    <w:lvl>
      <w:start w:val="17"/>
      <w:numFmt w:val="decimal"/>
      <w:suff w:val="tab"/>
      <w:lvlText w:val="%1."/>
      <w:rPr>
        <w:color w:val="3370ff"/>
      </w:rPr>
    </w:lvl>
  </w:abstractNum>
  <w:abstractNum w:abstractNumId="453083">
    <w:lvl>
      <w:start w:val="18"/>
      <w:numFmt w:val="decimal"/>
      <w:suff w:val="tab"/>
      <w:lvlText w:val="%1."/>
      <w:rPr>
        <w:color w:val="3370ff"/>
      </w:rPr>
    </w:lvl>
  </w:abstractNum>
  <w:abstractNum w:abstractNumId="453084">
    <w:lvl>
      <w:start w:val="19"/>
      <w:numFmt w:val="decimal"/>
      <w:suff w:val="tab"/>
      <w:lvlText w:val="%1."/>
      <w:rPr>
        <w:color w:val="3370ff"/>
      </w:rPr>
    </w:lvl>
  </w:abstractNum>
  <w:abstractNum w:abstractNumId="453085">
    <w:lvl>
      <w:start w:val="20"/>
      <w:numFmt w:val="decimal"/>
      <w:suff w:val="tab"/>
      <w:lvlText w:val="%1."/>
      <w:rPr>
        <w:color w:val="3370ff"/>
      </w:rPr>
    </w:lvl>
  </w:abstractNum>
  <w:abstractNum w:abstractNumId="453086">
    <w:lvl>
      <w:start w:val="21"/>
      <w:numFmt w:val="decimal"/>
      <w:suff w:val="tab"/>
      <w:lvlText w:val="%1."/>
      <w:rPr>
        <w:color w:val="3370ff"/>
      </w:rPr>
    </w:lvl>
  </w:abstractNum>
  <w:num w:numId="1">
    <w:abstractNumId w:val="453066"/>
  </w:num>
  <w:num w:numId="2">
    <w:abstractNumId w:val="453067"/>
  </w:num>
  <w:num w:numId="3">
    <w:abstractNumId w:val="453068"/>
  </w:num>
  <w:num w:numId="4">
    <w:abstractNumId w:val="453069"/>
  </w:num>
  <w:num w:numId="5">
    <w:abstractNumId w:val="453070"/>
  </w:num>
  <w:num w:numId="6">
    <w:abstractNumId w:val="453071"/>
  </w:num>
  <w:num w:numId="7">
    <w:abstractNumId w:val="453072"/>
  </w:num>
  <w:num w:numId="8">
    <w:abstractNumId w:val="453073"/>
  </w:num>
  <w:num w:numId="9">
    <w:abstractNumId w:val="453074"/>
  </w:num>
  <w:num w:numId="10">
    <w:abstractNumId w:val="453075"/>
  </w:num>
  <w:num w:numId="11">
    <w:abstractNumId w:val="453076"/>
  </w:num>
  <w:num w:numId="12">
    <w:abstractNumId w:val="453077"/>
  </w:num>
  <w:num w:numId="13">
    <w:abstractNumId w:val="453078"/>
  </w:num>
  <w:num w:numId="14">
    <w:abstractNumId w:val="453079"/>
  </w:num>
  <w:num w:numId="15">
    <w:abstractNumId w:val="453080"/>
  </w:num>
  <w:num w:numId="16">
    <w:abstractNumId w:val="453081"/>
  </w:num>
  <w:num w:numId="17">
    <w:abstractNumId w:val="453082"/>
  </w:num>
  <w:num w:numId="18">
    <w:abstractNumId w:val="453083"/>
  </w:num>
  <w:num w:numId="19">
    <w:abstractNumId w:val="453084"/>
  </w:num>
  <w:num w:numId="20">
    <w:abstractNumId w:val="453085"/>
  </w:num>
  <w:num w:numId="21">
    <w:abstractNumId w:val="45308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2026-06-03T08:44:31Z</dcterms:created>
  <dc:creator>Apache POI</dc:creator>
</cp:coreProperties>
</file>