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sz w:val="24"/>
        </w:rPr>
        <w:t>Court Visitor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</w:tcPr>
          <w:p>
            <w:r>
              <w:rPr>
                <w:rFonts w:ascii="Calibri" w:hAnsi="Calibri" w:eastAsia="Calibri"/>
                <w:b w:val="0"/>
                <w:sz w:val="22"/>
              </w:rPr>
              <w:t>Visit: 10/30/2025  1p</w:t>
            </w:r>
          </w:p>
        </w:tc>
        <w:tc>
          <w:tcPr>
            <w:tcW w:type="dxa" w:w="5544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sz w:val="22"/>
              </w:rPr>
              <w:t>Cause Number: 14-000172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Quinn Reich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(512) 517-5680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60O8 Rutledge Ln, Austin. TX 78745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DOB: 01/30/1996  |  Age: 29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Lives With: Self</w:t>
            </w:r>
          </w:p>
        </w:tc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Laura Leboeuf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(512) 517-5680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5120 Concho Creed Bend, Austin, TX 78735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mayehres@gmail.com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DOB: 08/07/1962  |  Parent</w:t>
            </w:r>
          </w:p>
        </w:tc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Stephanie Reich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(512) 306-7314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205 Laurelwood Trail, Austin, TX 78746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none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DOB: 03/07/1962  |  parent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</w:tbl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