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ADVOCACY PACKAGE — RECIPIENT GUIDE</w:t>
      </w:r>
    </w:p>
    <w:p w:rsidR="00000000" w:rsidDel="00000000" w:rsidP="00000000" w:rsidRDefault="00000000" w:rsidRPr="00000000" w14:paraId="00000002">
      <w:pPr>
        <w:pStyle w:val="Heading2"/>
        <w:rPr/>
      </w:pPr>
      <w:r w:rsidDel="00000000" w:rsidR="00000000" w:rsidRPr="00000000">
        <w:rPr>
          <w:rtl w:val="0"/>
        </w:rPr>
        <w:t xml:space="preserve">Bellbrook Laneway — MAYHEM-GOV-LANEWAY-001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This guide tells you what is in this package, what each document means, what you need to do, and in what order. No specialist knowledge is required. No AI access is required. All steps are executable using publicly available records.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Bdr>
          <w:bottom w:color="000000" w:space="0" w:sz="6" w:val="single"/>
        </w:pBd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PART 1 — WHAT IS IN THIS PACKAGE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Investigation documents — these record the findings: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Evidence Register (ER-FROZEN): 51 entries drawn from publicly accessible records. Each entry records what a document actually says, where it comes from, and whether it has been confirmed.</w:t>
      </w:r>
    </w:p>
    <w:p w:rsidR="00000000" w:rsidDel="00000000" w:rsidP="00000000" w:rsidRDefault="00000000" w:rsidRPr="00000000" w14:paraId="0000000D">
      <w:pPr>
        <w:rPr/>
      </w:pPr>
      <w:r w:rsidDel="00000000" w:rsidR="00000000" w:rsidRPr="00000000">
        <w:rPr>
          <w:rtl w:val="0"/>
        </w:rPr>
        <w:t xml:space="preserve">— Analysis Register (AR-FROZEN): 15 independent analytical paths run on the frozen evidence. Each path draws only on the evidence register. No paths were collapsed or combined.</w:t>
      </w:r>
    </w:p>
    <w:p w:rsidR="00000000" w:rsidDel="00000000" w:rsidP="00000000" w:rsidRDefault="00000000" w:rsidRPr="00000000" w14:paraId="0000000E">
      <w:pPr>
        <w:rPr/>
      </w:pPr>
      <w:r w:rsidDel="00000000" w:rsidR="00000000" w:rsidRPr="00000000">
        <w:rPr>
          <w:rtl w:val="0"/>
        </w:rPr>
        <w:t xml:space="preserve">— Lattice Atlas: structural map showing where multiple independent paths arrived at the same finding, where they are in tension, and what patterns only become visible when you look across all paths at once.</w:t>
      </w:r>
    </w:p>
    <w:p w:rsidR="00000000" w:rsidDel="00000000" w:rsidP="00000000" w:rsidRDefault="00000000" w:rsidRPr="00000000" w14:paraId="0000000F">
      <w:pPr>
        <w:rPr/>
      </w:pPr>
      <w:r w:rsidDel="00000000" w:rsidR="00000000" w:rsidRPr="00000000">
        <w:rPr>
          <w:rtl w:val="0"/>
        </w:rPr>
        <w:t xml:space="preserve">— Temporal Projection Integrity Engine record: forward-looking classifications of what the evidence says will happen if nothing changes. Four observations are classified and advancing. Two were excluded because the evidence did not support them.</w:t>
      </w:r>
    </w:p>
    <w:p w:rsidR="00000000" w:rsidDel="00000000" w:rsidP="00000000" w:rsidRDefault="00000000" w:rsidRPr="00000000" w14:paraId="00000010">
      <w:pPr>
        <w:rPr/>
      </w:pPr>
      <w:r w:rsidDel="00000000" w:rsidR="00000000" w:rsidRPr="00000000">
        <w:rPr>
          <w:rtl w:val="0"/>
        </w:rPr>
        <w:t xml:space="preserve">— Enforcement Notice: the terminal document. Contains five structural findings, three emergent patterns, four remedy demands addressed to specific bodies, and a record of what was excluded and why.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Action documents — these are what you send:</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Surface A — Formal Notice to KSC General Manager: send this first. It starts the 30-day clock and compels a written response. That written response (or non-response) is what the escalation pathway requires.</w:t>
      </w:r>
    </w:p>
    <w:p w:rsidR="00000000" w:rsidDel="00000000" w:rsidP="00000000" w:rsidRDefault="00000000" w:rsidRPr="00000000" w14:paraId="00000015">
      <w:pPr>
        <w:rPr/>
      </w:pPr>
      <w:r w:rsidDel="00000000" w:rsidR="00000000" w:rsidRPr="00000000">
        <w:rPr>
          <w:rtl w:val="0"/>
        </w:rPr>
        <w:t xml:space="preserve">— Surface B — Letter to Michael Kemp MP: send at the same time as Surface A. The MP can demand a briefing from Council and Crown Lands. Council responds differently to parliamentary requests than to resident letters.</w:t>
      </w:r>
    </w:p>
    <w:p w:rsidR="00000000" w:rsidDel="00000000" w:rsidP="00000000" w:rsidRDefault="00000000" w:rsidRPr="00000000" w14:paraId="00000016">
      <w:pPr>
        <w:rPr/>
      </w:pPr>
      <w:r w:rsidDel="00000000" w:rsidR="00000000" w:rsidRPr="00000000">
        <w:rPr>
          <w:rtl w:val="0"/>
        </w:rPr>
        <w:t xml:space="preserve">— Surface C — GIPA Application to KSC: send at the same time as Surfaces A and B. This is a formal legal request for Council’s internal records. Council must respond within 20 working days.</w:t>
      </w:r>
    </w:p>
    <w:p w:rsidR="00000000" w:rsidDel="00000000" w:rsidP="00000000" w:rsidRDefault="00000000" w:rsidRPr="00000000" w14:paraId="00000017">
      <w:pPr>
        <w:rPr/>
      </w:pPr>
      <w:r w:rsidDel="00000000" w:rsidR="00000000" w:rsidRPr="00000000">
        <w:rPr>
          <w:rtl w:val="0"/>
        </w:rPr>
        <w:t xml:space="preserve">— Surface D — Complaint to NSW Office of Local Government: send this only if Council does not provide a written response to Surface A within 30 days. Fill in the non-response date before sending.</w:t>
      </w:r>
    </w:p>
    <w:p w:rsidR="00000000" w:rsidDel="00000000" w:rsidP="00000000" w:rsidRDefault="00000000" w:rsidRPr="00000000" w14:paraId="00000018">
      <w:pPr>
        <w:rPr/>
      </w:pPr>
      <w:r w:rsidDel="00000000" w:rsidR="00000000" w:rsidRPr="00000000">
        <w:rPr>
          <w:rtl w:val="0"/>
        </w:rPr>
        <w:t xml:space="preserve">— Surface E — This guide.</w:t>
      </w:r>
    </w:p>
    <w:p w:rsidR="00000000" w:rsidDel="00000000" w:rsidP="00000000" w:rsidRDefault="00000000" w:rsidRPr="00000000" w14:paraId="00000019">
      <w:pPr>
        <w:rPr/>
      </w:pPr>
      <w:r w:rsidDel="00000000" w:rsidR="00000000" w:rsidRPr="00000000">
        <w:rPr>
          <w:rtl w:val="0"/>
        </w:rPr>
        <w:t xml:space="preserve">— Surface F — Verification Card: tells you how to check any finding in the Enforcement Notice against the original source document.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Bdr>
          <w:bottom w:color="000000" w:space="0" w:sz="6" w:val="single"/>
        </w:pBd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PART 2 — HOW TO READ THE ENFORCEMENT NOTICE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Section 1 — Notice Summary:</w:t>
      </w:r>
      <w:r w:rsidDel="00000000" w:rsidR="00000000" w:rsidRPr="00000000">
        <w:rPr>
          <w:rtl w:val="0"/>
        </w:rPr>
        <w:t xml:space="preserve"> tells you what the investigation found at the highest level. Read this first.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Section 2 — Core Structural Findings:</w:t>
      </w:r>
      <w:r w:rsidDel="00000000" w:rsidR="00000000" w:rsidRPr="00000000">
        <w:rPr>
          <w:rtl w:val="0"/>
        </w:rPr>
        <w:t xml:space="preserve"> five findings, each with its evidence register references. These are the facts the investigation established. Each is non-allegatory — it describes what the system did, not what any individual intended.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Section 3 — Emergent Patterns:</w:t>
      </w:r>
      <w:r w:rsidDel="00000000" w:rsidR="00000000" w:rsidRPr="00000000">
        <w:rPr>
          <w:rtl w:val="0"/>
        </w:rPr>
        <w:t xml:space="preserve"> three patterns that only become visible when you look across multiple findings at once. The most important is the Self-Sustaining Harm Equilibrium: Council maintains the laneway to avoid crisis, disclaims it to avoid accountability, and Crown Lands does nothing because maintenance is happening. The system is in equilibrium. The equilibrium is harmful only to residents.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Section 4 — Temporal Projection Integrity Engine Classifications:</w:t>
      </w:r>
      <w:r w:rsidDel="00000000" w:rsidR="00000000" w:rsidRPr="00000000">
        <w:rPr>
          <w:rtl w:val="0"/>
        </w:rPr>
        <w:t xml:space="preserve"> four forward observations. Two are classified Mechanism-Grounded (the harm mechanism is active now). Two are classified Evidence-Grounded and Conditional (the trajectory continues unless something changes). These classifications determine the urgency framing.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Section 5 — Harm Externalisation Map:</w:t>
      </w:r>
      <w:r w:rsidDel="00000000" w:rsidR="00000000" w:rsidRPr="00000000">
        <w:rPr>
          <w:rtl w:val="0"/>
        </w:rPr>
        <w:t xml:space="preserve"> INVERTED means that the entities holding power over the asset bear no cost from the governance failure, and the residents bearing access dependency bear the full cost.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Section 6 — Remedy Demands:</w:t>
      </w:r>
      <w:r w:rsidDel="00000000" w:rsidR="00000000" w:rsidRPr="00000000">
        <w:rPr>
          <w:rtl w:val="0"/>
        </w:rPr>
        <w:t xml:space="preserve"> four demands, addressed to specific bodies. Demand 1 (tenure confirmation, 30 days) is the most urgent. It either confirms the Crown road status and opens the transfer pathway, or it contradicts Council’s disclaimer. Either outcome generates a document you can act 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Sections 7 and 8:</w:t>
      </w:r>
      <w:r w:rsidDel="00000000" w:rsidR="00000000" w:rsidRPr="00000000">
        <w:rPr>
          <w:rtl w:val="0"/>
        </w:rPr>
        <w:t xml:space="preserve"> open surfaces (things that still need to be retrieved) and notice metadata.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Bdr>
          <w:bottom w:color="000000" w:space="0" w:sz="6" w:val="single"/>
        </w:pBd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PART 3 — WHAT TO DO AND IN WHAT ORDER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r w:rsidDel="00000000" w:rsidR="00000000" w:rsidRPr="00000000">
        <w:rPr>
          <w:rtl w:val="0"/>
        </w:rPr>
        <w:t xml:space="preserve">Step 1 — Immediately (today or within the week)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Send Surface A (Formal Notice) to council@kempsey.nsw.gov.au. Keep the sent receipt. Note the date you sent it. The 30-day clock starts from that date.</w:t>
      </w:r>
    </w:p>
    <w:p w:rsidR="00000000" w:rsidDel="00000000" w:rsidP="00000000" w:rsidRDefault="00000000" w:rsidRPr="00000000" w14:paraId="00000034">
      <w:pPr>
        <w:rPr/>
      </w:pPr>
      <w:r w:rsidDel="00000000" w:rsidR="00000000" w:rsidRPr="00000000">
        <w:rPr>
          <w:rtl w:val="0"/>
        </w:rPr>
        <w:t xml:space="preserve">— Send Surface B (MP Letter) to oxley@parliament.nsw.gov.au. Keep the sent receipt.</w:t>
      </w:r>
    </w:p>
    <w:p w:rsidR="00000000" w:rsidDel="00000000" w:rsidP="00000000" w:rsidRDefault="00000000" w:rsidRPr="00000000" w14:paraId="00000035">
      <w:pPr>
        <w:rPr/>
      </w:pPr>
      <w:r w:rsidDel="00000000" w:rsidR="00000000" w:rsidRPr="00000000">
        <w:rPr>
          <w:rtl w:val="0"/>
        </w:rPr>
        <w:t xml:space="preserve">— Send Surface C (GIPA Application) to council@kempsey.nsw.gov.au. Keep the sent receipt. Note the date — Council has 20 working days to respond.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r w:rsidDel="00000000" w:rsidR="00000000" w:rsidRPr="00000000">
        <w:rPr>
          <w:rtl w:val="0"/>
        </w:rPr>
        <w:t xml:space="preserve">Step 2 — While waiting for responses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Log every response you receive. Date, form (email, letter, phone call), and verbatim content if possible.</w:t>
      </w:r>
    </w:p>
    <w:p w:rsidR="00000000" w:rsidDel="00000000" w:rsidP="00000000" w:rsidRDefault="00000000" w:rsidRPr="00000000" w14:paraId="0000003A">
      <w:pPr>
        <w:rPr/>
      </w:pPr>
      <w:r w:rsidDel="00000000" w:rsidR="00000000" w:rsidRPr="00000000">
        <w:rPr>
          <w:rtl w:val="0"/>
        </w:rPr>
        <w:t xml:space="preserve">— If Council responds with a verbal deflection rather than a written statement, write a follow-up email asking for the response in writing and referencing your original notice.</w:t>
      </w:r>
    </w:p>
    <w:p w:rsidR="00000000" w:rsidDel="00000000" w:rsidP="00000000" w:rsidRDefault="00000000" w:rsidRPr="00000000" w14:paraId="0000003B">
      <w:pPr>
        <w:rPr/>
      </w:pPr>
      <w:r w:rsidDel="00000000" w:rsidR="00000000" w:rsidRPr="00000000">
        <w:rPr>
          <w:rtl w:val="0"/>
        </w:rPr>
        <w:t xml:space="preserve">— Conduct the Trove gazette search (Open Surface 1): trove.nla.gov.au — NSW Government Gazette 1832–1900 — keyword Bellbrook — year 1892. Free. If you find a gazette notice confirming the town layout, keep a copy.</w:t>
      </w:r>
    </w:p>
    <w:p w:rsidR="00000000" w:rsidDel="00000000" w:rsidP="00000000" w:rsidRDefault="00000000" w:rsidRPr="00000000" w14:paraId="0000003C">
      <w:pPr>
        <w:rPr/>
      </w:pPr>
      <w:r w:rsidDel="00000000" w:rsidR="00000000" w:rsidRPr="00000000">
        <w:rPr>
          <w:rtl w:val="0"/>
        </w:rPr>
        <w:t xml:space="preserve">— Consider conducting the Crown Lands Current Road Status Search (Open Surface 4): crownland.nsw.gov.au — fee-based. This is the formal confirmation of whether the laneway is a Crown road. Demand 1 requires Council to do this — but if Council does not comply, you may wish to conduct it yourself.</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r w:rsidDel="00000000" w:rsidR="00000000" w:rsidRPr="00000000">
        <w:rPr>
          <w:rtl w:val="0"/>
        </w:rPr>
        <w:t xml:space="preserve">Step 3 — After Council’s response period expires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If Council provides a documented written response addressing all four demands: assess the response against the Enforcement Notice findings. If Council disputes a finding, note the specific evidence register entry it contradicts and what Council’s counter-evidence is.</w:t>
      </w:r>
    </w:p>
    <w:p w:rsidR="00000000" w:rsidDel="00000000" w:rsidP="00000000" w:rsidRDefault="00000000" w:rsidRPr="00000000" w14:paraId="00000041">
      <w:pPr>
        <w:rPr/>
      </w:pPr>
      <w:r w:rsidDel="00000000" w:rsidR="00000000" w:rsidRPr="00000000">
        <w:rPr>
          <w:rtl w:val="0"/>
        </w:rPr>
        <w:t xml:space="preserve">— If Council does not provide a written response within 30 days: fill in the non-response date on Surface D and send it to the NSW Office of Local Government.</w:t>
      </w:r>
    </w:p>
    <w:p w:rsidR="00000000" w:rsidDel="00000000" w:rsidP="00000000" w:rsidRDefault="00000000" w:rsidRPr="00000000" w14:paraId="00000042">
      <w:pPr>
        <w:rPr/>
      </w:pPr>
      <w:r w:rsidDel="00000000" w:rsidR="00000000" w:rsidRPr="00000000">
        <w:rPr>
          <w:rtl w:val="0"/>
        </w:rPr>
        <w:t xml:space="preserve">— If Council provides a partial or inadequate response: the response document itself becomes evidence. Log it and escalate to the NSW Office of Local Government with the response attached.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Bdr>
          <w:bottom w:color="000000" w:space="0" w:sz="6" w:val="single"/>
        </w:pBd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PART 4 — WHO HAS STANDING TO ACT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Kempsey Shire Council General Manager:</w:t>
      </w:r>
      <w:r w:rsidDel="00000000" w:rsidR="00000000" w:rsidRPr="00000000">
        <w:rPr>
          <w:rtl w:val="0"/>
        </w:rPr>
        <w:t xml:space="preserve"> the primary actor. Has the capacity to request the tenure confirmation and to lodge a transfer request. Surface A is addressed to the General Manager.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Michael Kemp MP (Member for Oxley):</w:t>
      </w:r>
      <w:r w:rsidDel="00000000" w:rsidR="00000000" w:rsidRPr="00000000">
        <w:rPr>
          <w:rtl w:val="0"/>
        </w:rPr>
        <w:t xml:space="preserve"> parliamentary representative. Can demand a briefing from Council and Crown Lands. Parliamentary requests carry standing that resident requests do not. Surface B is addressed to Mr Kemp.</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NSW Crown Lands:</w:t>
      </w:r>
      <w:r w:rsidDel="00000000" w:rsidR="00000000" w:rsidRPr="00000000">
        <w:rPr>
          <w:rtl w:val="0"/>
        </w:rPr>
        <w:t xml:space="preserve"> holds formal tenure authority and the power to initiate a transfer without a Council request. Can be contacted directly at crownland.nsw.gov.au. The Enforcement Notice documents the transfer eligibility finding.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NSW Office of Local Government:</w:t>
      </w:r>
      <w:r w:rsidDel="00000000" w:rsidR="00000000" w:rsidRPr="00000000">
        <w:rPr>
          <w:rtl w:val="0"/>
        </w:rPr>
        <w:t xml:space="preserve"> oversight body for councils. Accepts complaints about council conduct. Surface D is addressed to OLG and activates if Council does not respond to Surface 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NSW Ombudsman:</w:t>
      </w:r>
      <w:r w:rsidDel="00000000" w:rsidR="00000000" w:rsidRPr="00000000">
        <w:rPr>
          <w:rtl w:val="0"/>
        </w:rPr>
        <w:t xml:space="preserve"> can investigate maladministration by local councils. Requires prior documented Council contact as a precondition. Surface A creates that record. If Council’s response is inadequate, the Ombudsman is the next escalation point above OLG.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Bdr>
          <w:bottom w:color="000000" w:space="0" w:sz="6" w:val="single"/>
        </w:pBd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PART 5 — RESPONSE LOGGING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Keep a dated log of every response you receive and every action you take. The log is evidence. Over time, a pattern of responses that acknowledge without acting is itself a structural finding. The log belongs to you. Use this format: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Date:</w:t>
      </w:r>
    </w:p>
    <w:p w:rsidR="00000000" w:rsidDel="00000000" w:rsidP="00000000" w:rsidRDefault="00000000" w:rsidRPr="00000000" w14:paraId="00000059">
      <w:pPr>
        <w:rPr/>
      </w:pPr>
      <w:r w:rsidDel="00000000" w:rsidR="00000000" w:rsidRPr="00000000">
        <w:rPr>
          <w:rtl w:val="0"/>
        </w:rPr>
        <w:t xml:space="preserve">— From:</w:t>
      </w:r>
    </w:p>
    <w:p w:rsidR="00000000" w:rsidDel="00000000" w:rsidP="00000000" w:rsidRDefault="00000000" w:rsidRPr="00000000" w14:paraId="0000005A">
      <w:pPr>
        <w:rPr/>
      </w:pPr>
      <w:r w:rsidDel="00000000" w:rsidR="00000000" w:rsidRPr="00000000">
        <w:rPr>
          <w:rtl w:val="0"/>
        </w:rPr>
        <w:t xml:space="preserve">— Form (email / letter / phone call / in person):</w:t>
      </w:r>
    </w:p>
    <w:p w:rsidR="00000000" w:rsidDel="00000000" w:rsidP="00000000" w:rsidRDefault="00000000" w:rsidRPr="00000000" w14:paraId="0000005B">
      <w:pPr>
        <w:rPr/>
      </w:pPr>
      <w:r w:rsidDel="00000000" w:rsidR="00000000" w:rsidRPr="00000000">
        <w:rPr>
          <w:rtl w:val="0"/>
        </w:rPr>
        <w:t xml:space="preserve">— Verbatim content or summary:</w:t>
      </w:r>
    </w:p>
    <w:p w:rsidR="00000000" w:rsidDel="00000000" w:rsidP="00000000" w:rsidRDefault="00000000" w:rsidRPr="00000000" w14:paraId="0000005C">
      <w:pPr>
        <w:rPr/>
      </w:pPr>
      <w:r w:rsidDel="00000000" w:rsidR="00000000" w:rsidRPr="00000000">
        <w:rPr>
          <w:rtl w:val="0"/>
        </w:rPr>
        <w:t xml:space="preserve">— Action taken in response: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Bdr>
          <w:bottom w:color="000000" w:space="0" w:sz="6" w:val="single"/>
        </w:pBd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PART 6 — IF YOU WANT TO VERIFY THE FINDINGS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See Surface F (Verification Card) for a step-by-step guide to checking each finding in the Enforcement Notice against its primary source document. All sources are publicly accessible. No specialist knowledge is required.</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