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MAYHEM-GOV-LANEWAY-001</w:t>
      </w:r>
    </w:p>
    <w:p w:rsidR="00000000" w:rsidDel="00000000" w:rsidP="00000000" w:rsidRDefault="00000000" w:rsidRPr="00000000" w14:paraId="00000002">
      <w:pPr>
        <w:pStyle w:val="Heading1"/>
        <w:rPr/>
      </w:pPr>
      <w:r w:rsidDel="00000000" w:rsidR="00000000" w:rsidRPr="00000000">
        <w:rPr>
          <w:rtl w:val="0"/>
        </w:rPr>
        <w:t xml:space="preserve">DEEP FORENSIC ALL PATHS TAKEN ANALYSIS</w:t>
      </w:r>
    </w:p>
    <w:p w:rsidR="00000000" w:rsidDel="00000000" w:rsidP="00000000" w:rsidRDefault="00000000" w:rsidRPr="00000000" w14:paraId="00000003">
      <w:pPr>
        <w:pStyle w:val="Heading1"/>
        <w:rPr/>
      </w:pPr>
      <w:r w:rsidDel="00000000" w:rsidR="00000000" w:rsidRPr="00000000">
        <w:rPr>
          <w:rtl w:val="0"/>
        </w:rPr>
        <w:t xml:space="preserve">ANALYSIS REGISTER — FROZEN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Session: </w:t>
      </w:r>
      <w:r w:rsidDel="00000000" w:rsidR="00000000" w:rsidRPr="00000000">
        <w:rPr>
          <w:rtl w:val="0"/>
        </w:rPr>
        <w:t xml:space="preserve">001</w:t>
      </w:r>
    </w:p>
    <w:p w:rsidR="00000000" w:rsidDel="00000000" w:rsidP="00000000" w:rsidRDefault="00000000" w:rsidRPr="00000000" w14:paraId="00000006">
      <w:pPr>
        <w:rPr/>
      </w:pPr>
      <w:r w:rsidDel="00000000" w:rsidR="00000000" w:rsidRPr="00000000">
        <w:rPr>
          <w:b w:val="1"/>
          <w:bCs w:val="1"/>
          <w:rtl w:val="0"/>
        </w:rPr>
        <w:t xml:space="preserve">Date of Freeze: </w:t>
      </w:r>
      <w:r w:rsidDel="00000000" w:rsidR="00000000" w:rsidRPr="00000000">
        <w:rPr>
          <w:rtl w:val="0"/>
        </w:rPr>
        <w:t xml:space="preserve">2026-07-18</w:t>
      </w:r>
    </w:p>
    <w:p w:rsidR="00000000" w:rsidDel="00000000" w:rsidP="00000000" w:rsidRDefault="00000000" w:rsidRPr="00000000" w14:paraId="00000007">
      <w:pPr>
        <w:rPr/>
      </w:pPr>
      <w:r w:rsidDel="00000000" w:rsidR="00000000" w:rsidRPr="00000000">
        <w:rPr>
          <w:b w:val="1"/>
          <w:bCs w:val="1"/>
          <w:rtl w:val="0"/>
        </w:rPr>
        <w:t xml:space="preserve">Evidence Register Status: </w:t>
      </w:r>
      <w:r w:rsidDel="00000000" w:rsidR="00000000" w:rsidRPr="00000000">
        <w:rPr>
          <w:rtl w:val="0"/>
        </w:rPr>
        <w:t xml:space="preserve">FROZEN — ER-001 through ER-051 (36 VERIFIED / 15 UNVERIFIED)</w:t>
      </w:r>
    </w:p>
    <w:p w:rsidR="00000000" w:rsidDel="00000000" w:rsidP="00000000" w:rsidRDefault="00000000" w:rsidRPr="00000000" w14:paraId="00000008">
      <w:pPr>
        <w:rPr/>
      </w:pPr>
      <w:r w:rsidDel="00000000" w:rsidR="00000000" w:rsidRPr="00000000">
        <w:rPr>
          <w:b w:val="1"/>
          <w:bCs w:val="1"/>
          <w:rtl w:val="0"/>
        </w:rPr>
        <w:t xml:space="preserve">Analysis Register Status: </w:t>
      </w:r>
      <w:r w:rsidDel="00000000" w:rsidR="00000000" w:rsidRPr="00000000">
        <w:rPr>
          <w:rtl w:val="0"/>
        </w:rPr>
        <w:t xml:space="preserve">FROZEN — 15 Paths Complete</w:t>
      </w:r>
    </w:p>
    <w:p w:rsidR="00000000" w:rsidDel="00000000" w:rsidP="00000000" w:rsidRDefault="00000000" w:rsidRPr="00000000" w14:paraId="00000009">
      <w:pPr>
        <w:rPr/>
      </w:pPr>
      <w:r w:rsidDel="00000000" w:rsidR="00000000" w:rsidRPr="00000000">
        <w:rPr>
          <w:b w:val="1"/>
          <w:bCs w:val="1"/>
          <w:rtl w:val="0"/>
        </w:rPr>
        <w:t xml:space="preserve">GOVFAIL Modules Active: </w:t>
      </w:r>
      <w:r w:rsidDel="00000000" w:rsidR="00000000" w:rsidRPr="00000000">
        <w:rPr>
          <w:rtl w:val="0"/>
        </w:rPr>
        <w:t xml:space="preserve">Enforcements 1–4</w:t>
      </w:r>
    </w:p>
    <w:p w:rsidR="00000000" w:rsidDel="00000000" w:rsidP="00000000" w:rsidRDefault="00000000" w:rsidRPr="00000000" w14:paraId="0000000A">
      <w:pPr>
        <w:rPr/>
      </w:pPr>
      <w:r w:rsidDel="00000000" w:rsidR="00000000" w:rsidRPr="00000000">
        <w:rPr>
          <w:b w:val="1"/>
          <w:bCs w:val="1"/>
          <w:rtl w:val="0"/>
        </w:rPr>
        <w:t xml:space="preserve">DEMOCSUPPRESS Modules: </w:t>
      </w:r>
      <w:r w:rsidDel="00000000" w:rsidR="00000000" w:rsidRPr="00000000">
        <w:rPr>
          <w:rtl w:val="0"/>
        </w:rPr>
        <w:t xml:space="preserve">Not activated — local infrastructure accountability case</w:t>
      </w:r>
    </w:p>
    <w:p w:rsidR="00000000" w:rsidDel="00000000" w:rsidP="00000000" w:rsidRDefault="00000000" w:rsidRPr="00000000" w14:paraId="0000000B">
      <w:pPr>
        <w:rPr/>
      </w:pPr>
      <w:r w:rsidDel="00000000" w:rsidR="00000000" w:rsidRPr="00000000">
        <w:rPr>
          <w:b w:val="1"/>
          <w:bCs w:val="1"/>
          <w:rtl w:val="0"/>
        </w:rPr>
        <w:t xml:space="preserve">Next Gate: </w:t>
      </w:r>
      <w:r w:rsidDel="00000000" w:rsidR="00000000" w:rsidRPr="00000000">
        <w:rPr>
          <w:rtl w:val="0"/>
        </w:rPr>
        <w:t xml:space="preserve">Lattice Atlas — awaiting Architect instruction</w:t>
      </w:r>
    </w:p>
    <w:p w:rsidR="00000000" w:rsidDel="00000000" w:rsidP="00000000" w:rsidRDefault="00000000" w:rsidRPr="00000000" w14:paraId="0000000C">
      <w:pPr>
        <w:pBdr>
          <w:bottom w:color="000000" w:space="0" w:sz="6"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PATH ONE — TENURE ANALYSIS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laneway parcel has no confirmed cadastral identity. It is not selectable in the NSW Planning Portal (ER-001, ER-010). It does not appear in the KSC Crown Land Plan of Management (ER-009). It is not indexed in the NSW Historical Land Records Viewer under DP 758083 (ER-027). No lot/DP reference has been located through any publicly accessible instrument.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Council's stated position is that the laneway is Crown land (ER-003). This claim has not been confirmed by any Crown Lands register, gazette notice, or cadastral record (ER-023, ER-038). The tenure basis for Council's disclaimer is therefore unverified. Council is disclaiming responsibility on the basis of a tenure classification it has not documented and which cannot be independently confirmed through open-source investigation.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is confirmed: the laneway is a documented feature of the original 1892 Bellbrook town layout (ER-031). The town was gazetted in 1892 (ER-033). Road reservations in 1892-era NSW gazetted town layouts vested in the Crown by default under the land law of that period (ER-029, ER-033). No gazette notice, transfer instrument, road dedication, or Crown road closure has been located for the laneway or Oreen Street (ER-038). Absence of any transfer instrument is consistent with both parcels remaining as original Crown roads, unaltered since 1892.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laneway is not selectable on the Planning Portal, which is consistent with Crown road or unallocated Crown land status — parcels in those categories commonly appear as visual features without selectable cadastral identity (ER-028). Crown roads are characterised in NSW legislation and policy as commonly unformed and without constructed road surface (ER-007). The laneway has no formed road surface — it is the access strip that exists between the residential lot boundaries and Oreen Street reservation (ER-031).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Tenure path finding: </w:t>
      </w:r>
      <w:r w:rsidDel="00000000" w:rsidR="00000000" w:rsidRPr="00000000">
        <w:rPr>
          <w:rtl w:val="0"/>
        </w:rPr>
        <w:t xml:space="preserve">the available evidence is consistent with, but does not conclusively confirm, the laneway being an original Crown road. The claim has not been refuted. The claim has not been verified. The gap between those two positions is the tenure confirmation gap, and it is the single most critical unresolved item in this register.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Contradiction preserved: </w:t>
      </w:r>
      <w:r w:rsidDel="00000000" w:rsidR="00000000" w:rsidRPr="00000000">
        <w:rPr>
          <w:rtl w:val="0"/>
        </w:rPr>
        <w:t xml:space="preserve">Council claims Crown land tenure as the basis for its disclaimer. Crown Lands has no registered management arrangement for this parcel. A Crown land asset that neither entity has formally documented in any management instrument is a governance anomaly regardless of which tenure category ultimately applies.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Bdr>
          <w:bottom w:color="000000" w:space="0" w:sz="6" w:val="single"/>
        </w:pBd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PATH TWO — MAINTENANCE OBLIGATION ANALYSIS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statutory position is clear. The roads authority for a Crown road is the Minister administering the Crown Land Management Act 2016 (ER-005, ER-017). Council is the roads authority for all public roads in its LGA except Crown roads (ER-019). Crown Lands explicitly does not provide road construction, maintenance, or traffic management services (ER-037). Neither the Minister nor Crown Lands has a documented obligation to perform routine maintenance on the Bellbrook laneway (ER-018, ER-037).</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Council performs maintenance on the laneway (ER-002). This maintenance is documented in Council's own published weekly works update, which records roadside slashing and vegetation control on Bellbrook Streets as completed works (ER-048). Council's bin collection schedule services Oreen Street as part of its operational area (ER-042). Council's Operational Plan 2025/26 commits $40.4 million to roads and bridges maintenance across the shire with no Crown road exclusion stated (ER-049). Council has active capital works orders for Bellbrook roads in the same financial year (ER-050).</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Documented compliance position: </w:t>
      </w:r>
      <w:r w:rsidDel="00000000" w:rsidR="00000000" w:rsidRPr="00000000">
        <w:rPr>
          <w:rtl w:val="0"/>
        </w:rPr>
        <w:t xml:space="preserve">no obligation exists on paper for either entity.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Functional compliance position: </w:t>
      </w:r>
      <w:r w:rsidDel="00000000" w:rsidR="00000000" w:rsidRPr="00000000">
        <w:rPr>
          <w:rtl w:val="0"/>
        </w:rPr>
        <w:t xml:space="preserve">Council is the de facto maintaining entity. Its own records confirm this.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gap between those two positions is the maintenance obligation gap. It is the core governance failure this investigation names.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Bdr>
          <w:bottom w:color="000000" w:space="0" w:sz="6" w:val="single"/>
        </w:pBd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PATH THREE — COMPLAINT PATHWAY ANALYSIS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resident seeking to raise a maintenance concern about the laneway encounters the following documented pathway: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Council's public-facing responsibility framework lists roads and bridges as a Council responsibility with no Crown road exclusion visible to a resident (ER-013). A resident submitting a complaint through Council's published gateway would have no basis from Council's own published materials to know their complaint would be deflected.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When Council deflects to Crown land status, the resident's next documented option is Crown Lands. Crown Lands' own public guidance directs maintenance enquiries to local councils (ER-034). The resident returns to the point of origin. This is a documented circular deflection loop confirmed by both entities' own published guidance.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escalation pathway above Council requires prior Council contact as a precondition (ER-015 — OLG requirement). Council contact is therefore not optional — it is a mandatory first step before OLG or NSW Ombudsman escalation becomes viable. If Council deflects without providing a documented written basis for that deflection, the deflection itself becomes the subject of the escalation.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KSC does not have a publicly accessible Complaints Handling Policy (ER-022). KSC does not have a publicly documented multi-tier escalation process (ER-016). The NSW Ombudsman's published standard requires a three-tier escalation system (ER-024). KSC's documented complaint infrastructure does not meet that standard based on available public evidence.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Complaint pathway gap: </w:t>
      </w:r>
      <w:r w:rsidDel="00000000" w:rsidR="00000000" w:rsidRPr="00000000">
        <w:rPr>
          <w:rtl w:val="0"/>
        </w:rPr>
        <w:t xml:space="preserve">a resident cannot hold either Council or Crown Lands accountable for laneway maintenance because the accountability loop between the two entities is circular, the internal escalation pathway within Council is undocumented, and the preconditions for external escalation require a documented internal attempt that Council's own systems do not provide guidance for completing.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Bdr>
          <w:bottom w:color="000000" w:space="0" w:sz="6" w:val="single"/>
        </w:pBd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PATH FOUR — TRANSFER ELIGIBILITY ANALYSIS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Crown Lands' Administration of Crown Roads Policy IND-O-250 v2.0 (ER-039, ER-040, ER-041) establishes that a Crown road is suitable for transfer to Council where it is being maintained by a council to facilitate access as part of its local road network. The Bellbrook laneway meets this criterion. Council has been maintaining it (ER-002, ER-048).</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Two transfer initiation pathways exist. Council can request transfer. Crown Lands can initiate transfer. Neither has occurred (ER-041).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Council cannot refuse a transfer on grounds of road condition or financial implications (ER-040). These are the two arguments Council would most predictably raise. Both are pre-emptively invalidated by Crown Lands' own policy.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Transfer eligibility gap: </w:t>
      </w:r>
      <w:r w:rsidDel="00000000" w:rsidR="00000000" w:rsidRPr="00000000">
        <w:rPr>
          <w:rtl w:val="0"/>
        </w:rPr>
        <w:t xml:space="preserve">Council's maintenance activity has been triggering its own transfer eligibility continuously — while Council simultaneously disclaims any obligation. The governance failure is not merely that the transfer has not occurred. It is that Council has been performing the function that would justify transfer without ever requesting it, and Crown Lands has administered a road that meets its own transfer criteria without initiating transfer. Both entities have allowed the eligibility gap to persist indefinitely.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Bdr>
          <w:bottom w:color="000000" w:space="0" w:sz="6" w:val="single"/>
        </w:pBd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PATH FIVE — HISTORICAL ORIGIN ANALYSIS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Bellbrook was laid out and gazetted as a town in 1892 (ER-029, ER-033). The town layout was surveyed and the road network — including Oreen Street and the laneway — was established as part of that gazettal (ER-031, ER-032). A tennis court existed between Oreen Street and the laneway as early as 1900 (ER-031), confirming both features were physically present and functionally referenced in the landscape within eight years of gazettal.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Parish of Uralgurra is the relevant cadastral parish. The original parish map for Uralgurra will show the 1892 town inset including the road dedications. That map has not yet been retrieved (ER-047). The 1892 NSW Government Gazette notice has not yet been retrieved (ER-046). These two items are the evidentiary base for confirming the original Crown road dedication.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can be stated on current evidence: both Oreen Street and the laneway are features of documented historical origin dating to at least 1892. No instrument has been located transferring either feature to any other entity. No gazette notice closing, selling, or dedicating either feature as a public road under Council authority has been located. The most parsimonious explanation consistent with all available evidence is that both parcels remain as original Crown roads, unaltered in tenure for 134 years.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Bdr>
          <w:bottom w:color="000000" w:space="0" w:sz="6" w:val="single"/>
        </w:pBd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PATH SIX — SERVICE DELIVERY CONTRADICTION ANALYSIS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Council delivers waste collection to Oreen Street on a published schedule (ER-042). Council performs roadside slashing and vegetation control on Bellbrook Streets including, by inference from the waste collection evidence, Oreen Street (ER-048). Council's Operational Plan includes Crown land management as an explicit function (ER-051). Council has active capital works in Bellbrook in the same financial year it disclaims laneway maintenance responsibility (ER-050). Council's public-facing responsibility framework does not exclude Crown roads from its stated road maintenance function (ER-013, ER-049).</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Service delivery contradiction: </w:t>
      </w:r>
      <w:r w:rsidDel="00000000" w:rsidR="00000000" w:rsidRPr="00000000">
        <w:rPr>
          <w:rtl w:val="0"/>
        </w:rPr>
        <w:t xml:space="preserve">Council is a documented service provider on Oreen Street across multiple service categories. Its disclaimer of maintenance responsibility for the laneway parallel to Oreen Street is structurally inconsistent with the service delivery pattern its own records establish. A Council that services Oreen Street for waste collection and roadside slashing but disclaims maintenance responsibility for the adjacent laneway has not applied a consistent service boundary — it has applied a selective disclaimer.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Bdr>
          <w:bottom w:color="000000" w:space="0" w:sz="6" w:val="single"/>
        </w:pBd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PATH SEVEN — RESIDENT HARM ANALYSIS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laneway is the functional access route for residents whose properties adjoin it (ER-031, ER-004). Oreen Street — the road that would provide formal documented access — does not exist on the ground (ER-004). The laneway is not a secondary access option. It is the only access that exists for the parcels it serves.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resident who raises a maintenance concern about the laneway is directed into a circular deflection loop (Path Three above). The resident cannot obtain a documented entity with maintenance responsibility. The resident cannot access a documented internal escalation process within Council. The precondition for external escalation — prior documented Council contact — cannot be completed in a form that generates a written Council position because Council's complaint infrastructure does not document its jurisdictional deflections in a publicly accessible policy.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Harm mechanism: </w:t>
      </w:r>
      <w:r w:rsidDel="00000000" w:rsidR="00000000" w:rsidRPr="00000000">
        <w:rPr>
          <w:rtl w:val="0"/>
        </w:rPr>
        <w:t xml:space="preserve">access-dependent residents are structurally excluded from the accountability framework that governs the asset they depend on. This is not an accidental gap. It is the predictable consequence of two entities each disclaiming responsibility and neither having documented the arrangement between them.</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bottom w:color="000000" w:space="0" w:sz="6" w:val="single"/>
        </w:pBd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PATH EIGHT — GOVFAIL: LEGITIMACY-OUTPUT DECOUPLING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Council produces documented output — bin collection schedules, weekly works reports, operational plans, capital works programs — that references Bellbrook streets as serviced assets (ER-042, ER-048, ER-049, ER-050). This output constitutes documented compliance: Council can point to published records of service delivery to Bellbrook. The records do not distinguish between streets Council holds formal authority over and streets it does not.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laneway maintenance disclaimer operates in the opposite direction from the documented output. Council simultaneously produces records that place Bellbrook streets within its service architecture and maintains a verbal position that the laneway is not its responsibility.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Structural finding: </w:t>
      </w:r>
      <w:r w:rsidDel="00000000" w:rsidR="00000000" w:rsidRPr="00000000">
        <w:rPr>
          <w:rtl w:val="0"/>
        </w:rPr>
        <w:t xml:space="preserve">the compliance documentation is real. The accountability gap is real. Both coexist. The documentation does not expose the gap — it obscures it. A resident, a journalist, or an oversight body reviewing Council's published records would find Bellbrook streets serviced and no gap flagged. The gap only becomes visible when a specific resident raises a specific complaint and receives a deflection. The deflection is not recorded in any publicly accessible instrument.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Bdr>
          <w:bottom w:color="000000" w:space="0" w:sz="6" w:val="single"/>
        </w:pBd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PATH NINE — GOVFAIL: CONSENT ARCHITECTURE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foundational accountability principle governing local government in NSW is ratepayer consent — residents pay rates and in return receive services, with elected councillors accountable to ratepayers for service delivery decisions.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Bellbrook laneway sits outside this consent architecture in two ways. First, the entity performing maintenance (Council) has no formal authority over the parcel. The ratepayer-funded maintenance is occurring on land that Council has not been formally empowered to manage. Ratepayers are funding maintenance of Crown land without a formal instrument authorising that expenditure. Second, the entity with formal authority (Crown Lands / Minister) is not accountable to Bellbrook ratepayers in any direct electoral or rate-based sense.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Consent architecture gap: </w:t>
      </w:r>
      <w:r w:rsidDel="00000000" w:rsidR="00000000" w:rsidRPr="00000000">
        <w:rPr>
          <w:rtl w:val="0"/>
        </w:rPr>
        <w:t xml:space="preserve">residents have no mechanism through which their ratepayer status confers accountability over the entity that actually administers the asset they depend on. The electoral accountability chain — resident to councillor to council to service delivery — is broken at the service delivery point because the parcel falls outside Council's formal service mandate.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bottom w:color="000000" w:space="0" w:sz="6" w:val="single"/>
        </w:pBd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PATH TEN — GOVFAIL: SELF-REMEDIATION ASSESSMENT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Classification required per GOVFAIL Enforcement 3.</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Self-Remediation Available — Council: </w:t>
      </w:r>
      <w:r w:rsidDel="00000000" w:rsidR="00000000" w:rsidRPr="00000000">
        <w:rPr>
          <w:rtl w:val="0"/>
        </w:rPr>
        <w:t xml:space="preserve">Council could request transfer of the laneway under Roads Act 1993 s.152I and Crown Lands Policy IND-O-250 (ER-041). This pathway is open, documented, and Council's maintenance activity meets the eligibility criterion (ER-039). Council could also adopt a formal Crown Roads Maintenance Policy clarifying its position, and publish a documented complaints escalation process. These are within Council's operational and policy capacity.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Self-Remediation Constrained — Crown Lands: </w:t>
      </w:r>
      <w:r w:rsidDel="00000000" w:rsidR="00000000" w:rsidRPr="00000000">
        <w:rPr>
          <w:rtl w:val="0"/>
        </w:rPr>
        <w:t xml:space="preserve">Crown Lands could initiate transfer without Council's request (ER-041). Crown Lands is not a ratepayer-accountable body. Its initiation of transfer depends on internal prioritisation decisions not subject to resident pressure.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Self-Remediation Structurally Blocked — Resident: </w:t>
      </w:r>
      <w:r w:rsidDel="00000000" w:rsidR="00000000" w:rsidRPr="00000000">
        <w:rPr>
          <w:rtl w:val="0"/>
        </w:rPr>
        <w:t xml:space="preserve">The circular deflection loop (ER-034, Path Three) blocks resident-driven resolution. A resident cannot compel either entity to act. The resident has no standing in the transfer mechanism. The resident's only available lever is the complaint pathway, which terminates in the circular loop.</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Assessment: </w:t>
      </w:r>
      <w:r w:rsidDel="00000000" w:rsidR="00000000" w:rsidRPr="00000000">
        <w:rPr>
          <w:rtl w:val="0"/>
        </w:rPr>
        <w:t xml:space="preserve">Remedy demands must address Council as the entity with available self-remediation capacity. External escalation pathways are the resident's only structural lever.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Bdr>
          <w:bottom w:color="000000" w:space="0" w:sz="6" w:val="single"/>
        </w:pBd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PATH ELEVEN — GOVFAIL: HARM EXTERNALISATION MAP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Power-holding actors: </w:t>
      </w:r>
      <w:r w:rsidDel="00000000" w:rsidR="00000000" w:rsidRPr="00000000">
        <w:rPr>
          <w:rtl w:val="0"/>
        </w:rPr>
        <w:t xml:space="preserve">Kempsey Shire Council — holds maintenance capability, operational budget, service delivery infrastructure, formal complaint gateway, elected accountability. NSW Crown Lands — holds formal tenure administration authority, transfer initiation power, gazette publication power.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Harm-bearing population: </w:t>
      </w:r>
      <w:r w:rsidDel="00000000" w:rsidR="00000000" w:rsidRPr="00000000">
        <w:rPr>
          <w:rtl w:val="0"/>
        </w:rPr>
        <w:t xml:space="preserve">residents of Bellbrook whose properties adjoin the laneway or who depend on it for access. Residents who raise maintenance concerns. Residents who receive the circular deflection without a documented written position from either entity.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Relationship classification: </w:t>
      </w:r>
      <w:r w:rsidDel="00000000" w:rsidR="00000000" w:rsidRPr="00000000">
        <w:rPr>
          <w:rtl w:val="0"/>
        </w:rPr>
        <w:t xml:space="preserve">Inverted. The entities holding structural power over the asset bear no costs from the governance gap. The residents bearing access dependency bear the full cost — denial of accountable maintenance, entry into a circular complaint loop, no pathway to compel resolution.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Cost of accountability: </w:t>
      </w:r>
      <w:r w:rsidDel="00000000" w:rsidR="00000000" w:rsidRPr="00000000">
        <w:rPr>
          <w:rtl w:val="0"/>
        </w:rPr>
        <w:t xml:space="preserve">borne entirely by the resident. Time, persistence, knowledge of the GIPA Act, knowledge of the Crown Lands transfer mechanism, knowledge of OLG and NSW Ombudsman escalation pathways. The system does not volunteer any of this. The resident must independently discover each step.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Cost to Council of the gap: </w:t>
      </w:r>
      <w:r w:rsidDel="00000000" w:rsidR="00000000" w:rsidRPr="00000000">
        <w:rPr>
          <w:rtl w:val="0"/>
        </w:rPr>
        <w:t xml:space="preserve">nil. The deflection requires less effort than processing and resolving the complaint. The circular loop self-terminates when the resident stops.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bottom w:color="000000" w:space="0" w:sz="6" w:val="single"/>
        </w:pBd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PATH TWELVE — STRUCTURAL HARM MECHANISMS IDENTIFICATION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Drawing from MAYHEM-CAT-SHM-001 canon. The following mechanisms are confirmed active.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Jurisdictional Void. </w:t>
      </w:r>
      <w:r w:rsidDel="00000000" w:rsidR="00000000" w:rsidRPr="00000000">
        <w:rPr>
          <w:rtl w:val="0"/>
        </w:rPr>
        <w:t xml:space="preserve">The laneway occupies a space between two entities' formal mandates. Neither holds a documented obligation. The void is not a gap in law — the law is clear on Crown road authority. The void is a gap in implementation: the law has never been applied to this parcel through a transfer, dedication, or management agreement. The void has persisted for 134 years on current evidence.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Circular Deflection Loop. </w:t>
      </w:r>
      <w:r w:rsidDel="00000000" w:rsidR="00000000" w:rsidRPr="00000000">
        <w:rPr>
          <w:rtl w:val="0"/>
        </w:rPr>
        <w:t xml:space="preserve">Documented at Path Three. Council to Crown Lands to Council. Both entities' own published guidance confirms the loop (ER-034, ER-013). The loop is not accidental — it is the structural consequence of two entities each holding partial jurisdiction and neither holding complete accountability.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Accountability Cost Externalisation. </w:t>
      </w:r>
      <w:r w:rsidDel="00000000" w:rsidR="00000000" w:rsidRPr="00000000">
        <w:rPr>
          <w:rtl w:val="0"/>
        </w:rPr>
        <w:t xml:space="preserve">The full cost of resolving the accountability gap is borne by the resident. Council bears no cost from deflecting. Crown Lands bears no cost from not initiating transfer. The resident bears search costs, time costs, knowledge costs, and emotional costs with no guarantee of resolution.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Accountability Inversion. </w:t>
      </w:r>
      <w:r w:rsidDel="00000000" w:rsidR="00000000" w:rsidRPr="00000000">
        <w:rPr>
          <w:rtl w:val="0"/>
        </w:rPr>
        <w:t xml:space="preserve">The residents depending on the laneway for access hold no structural standing in the mechanisms that could resolve the gap. The transfer mechanism is between Crown Lands and Council — the resident is not a party. The gazette notice process is a government-to-government instrument. The GIPA application returns internal records — it does not compel action. The resident can document the gap but cannot close it.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Definitional Control. </w:t>
      </w:r>
      <w:r w:rsidDel="00000000" w:rsidR="00000000" w:rsidRPr="00000000">
        <w:rPr>
          <w:rtl w:val="0"/>
        </w:rPr>
        <w:t xml:space="preserve">Council defines its maintenance responsibility. Council defines what falls within 'roads and bridges' for its own operational purposes. Council applies that definition at the individual complaint point through a verbal deflection that is not recorded in any public document. The resident has no access to the definition and no documented mechanism to contest 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bottom w:color="000000" w:space="0" w:sz="6" w:val="single"/>
        </w:pBd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PATH THIRTEEN — SILENT RIGHTS REMOVAL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Residents of Bellbrook whose properties adjoin the laneway have a right of access — the laneway is on land that, if it is Crown road, carries a public right of passage under the Roads Act 1993. That right of passage has never been formally extinguished — no gazette notice closing the road has been located (ER-038).</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However, the practical exercise of that right — in the form of maintained, functional access — depends on an entity performing maintenance. No entity has a documented maintenance obligation. The right exists on paper. Its functional exercise is contingent on Council choosing to maintain the parcel without obligation.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Silent rights removal finding: </w:t>
      </w:r>
      <w:r w:rsidDel="00000000" w:rsidR="00000000" w:rsidRPr="00000000">
        <w:rPr>
          <w:rtl w:val="0"/>
        </w:rPr>
        <w:t xml:space="preserve">the formal right of access is intact. No instrument has removed it. But the right's functional value — maintained access — can be withdrawn at any time by Council deciding to stop maintenance, with no legal consequence to Council and no remedy available to residents. A right that can be functionally withdrawn without legal process and without notice is a right in form only.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Bdr>
          <w:bottom w:color="000000" w:space="0" w:sz="6" w:val="single"/>
        </w:pBd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PATH FOURTEEN — TEMPORAL ANALYSIS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laneway has existed since at least 1892 on current evidence (ER-031). The governance gap — no formal management instrument, no transfer, no documented maintenance obligation — has persisted across that entire period on the evidence available. 134 years of functional maintenance without formal authority.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gap has not been addressed despite: the Crown Land Management Act 2016 modernising the Crown lands framework; the Administration of Crown Roads Policy IND-O-250 creating a clear transfer mechanism; KSC adopting a Crown Land Plan of Management in 2021 that addressed Bellbrook Crown reserves without addressing the laneway; and active Council capital investment in Bellbrook road infrastructure in 2025/26.</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Trajectory Direction Declaration: </w:t>
      </w:r>
      <w:r w:rsidDel="00000000" w:rsidR="00000000" w:rsidRPr="00000000">
        <w:rPr>
          <w:rtl w:val="0"/>
        </w:rPr>
        <w:t xml:space="preserve">Degrading. The gap is persistent. Each successive planning cycle that passes without resolution deepens the structural entrenchment of the gap. No countervailing force is currently operative in the evidence.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Bdr>
          <w:bottom w:color="000000" w:space="0" w:sz="6" w:val="single"/>
        </w:pBd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PATH FIFTEEN — HERITAGE VILLAGE OVERLAY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Bellbrook is classified as a heritage village by the National Trust (ER-029). It is registered on the Register of the National Estate (ER-029). The original 1892 town layout — including Oreen Street and the laneway — is part of the heritage fabric that generated that classification.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laneway is not incidental infrastructure. It is a feature of the original town layout that has been physically present and functionally referenced since at least 1900 (ER-031). Its maintenance — or non-maintenance — is a heritage village management question as well as a road authority question.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No heritage protection instrument has been identified that specifically protects the laneway as a heritage feature. The heritage classification covers the village character generally. If the laneway were closed, sold, or allowed to degrade, the heritage classification provides no specific protection for it as a distinct feature.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Heritage overlay finding: </w:t>
      </w:r>
      <w:r w:rsidDel="00000000" w:rsidR="00000000" w:rsidRPr="00000000">
        <w:rPr>
          <w:rtl w:val="0"/>
        </w:rPr>
        <w:t xml:space="preserve">the laneway's historical origin strengthens the public interest argument for formalising its management. A feature of a National Trust-classified heritage village that has existed since the 1892 gazettal has a public interest character that reinforces the transfer and formalisation argument beyond the pure road authority question.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Bdr>
          <w:bottom w:color="000000" w:space="0" w:sz="6" w:val="single"/>
        </w:pBd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ANALYSIS REGISTER DECLARATION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Fifteen paths taken. No paths collapsed. Contradictions preserved across all paths. No new facts introduced — all analysis draws exclusively from the frozen evidence register ER-001 through ER-051. GOVFAIL enforcement modules applied across Paths Eight through Twelve. Silent Rights Removal (Path Thirteen) activated under GOVFAIL structural harm mechanism catalogue. Heritage overlay (Path Fifteen) is an additional path demanded by the case domain.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STRUCTURAL SUMMARY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Bellbrook laneway governance failure has three compounding layers.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Tenure layer: </w:t>
      </w:r>
      <w:r w:rsidDel="00000000" w:rsidR="00000000" w:rsidRPr="00000000">
        <w:rPr>
          <w:rtl w:val="0"/>
        </w:rPr>
        <w:t xml:space="preserve">the parcel has no confirmed formal classification in any publicly accessible instrument, and the entity disclaiming responsibility has not verified the classification it relies 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Maintenance obligation layer: </w:t>
      </w:r>
      <w:r w:rsidDel="00000000" w:rsidR="00000000" w:rsidRPr="00000000">
        <w:rPr>
          <w:rtl w:val="0"/>
        </w:rPr>
        <w:t xml:space="preserve">neither the disclaiming entity nor the entity with formal authority holds a documented maintenance obligation, and the entity performing maintenance does so without formal authority.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Accountability architecture layer: </w:t>
      </w:r>
      <w:r w:rsidDel="00000000" w:rsidR="00000000" w:rsidRPr="00000000">
        <w:rPr>
          <w:rtl w:val="0"/>
        </w:rPr>
        <w:t xml:space="preserve">the resident complaint pathway terminates in a circular deflection loop, the internal escalation process is undocumented, and the external escalation preconditions cannot be met in documented form.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All three layers are independently capable of producing resident harm. In combination they produce structural access exclusion from accountability for a heritage village population with no alternative access route.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Bdr>
          <w:bottom w:color="000000" w:space="0" w:sz="6" w:val="single"/>
        </w:pBd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Register Frozen By: </w:t>
      </w:r>
      <w:r w:rsidDel="00000000" w:rsidR="00000000" w:rsidRPr="00000000">
        <w:rPr>
          <w:rtl w:val="0"/>
        </w:rPr>
        <w:t xml:space="preserve">Architect instruction — 2026-07-18</w:t>
      </w:r>
    </w:p>
    <w:p w:rsidR="00000000" w:rsidDel="00000000" w:rsidP="00000000" w:rsidRDefault="00000000" w:rsidRPr="00000000" w14:paraId="000000D7">
      <w:pPr>
        <w:rPr/>
      </w:pPr>
      <w:r w:rsidDel="00000000" w:rsidR="00000000" w:rsidRPr="00000000">
        <w:rPr>
          <w:b w:val="1"/>
          <w:bCs w:val="1"/>
          <w:rtl w:val="0"/>
        </w:rPr>
        <w:t xml:space="preserve">Frozen Analysis Register: </w:t>
      </w:r>
      <w:r w:rsidDel="00000000" w:rsidR="00000000" w:rsidRPr="00000000">
        <w:rPr>
          <w:rtl w:val="0"/>
        </w:rPr>
        <w:t xml:space="preserve">Admissible as input to Lattice Atlas gate</w:t>
      </w:r>
    </w:p>
    <w:p w:rsidR="00000000" w:rsidDel="00000000" w:rsidP="00000000" w:rsidRDefault="00000000" w:rsidRPr="00000000" w14:paraId="000000D8">
      <w:pPr>
        <w:rPr/>
      </w:pPr>
      <w:r w:rsidDel="00000000" w:rsidR="00000000" w:rsidRPr="00000000">
        <w:rPr>
          <w:b w:val="1"/>
          <w:bCs w:val="1"/>
          <w:rtl w:val="0"/>
        </w:rPr>
        <w:t xml:space="preserve">Modification Status: </w:t>
      </w:r>
      <w:r w:rsidDel="00000000" w:rsidR="00000000" w:rsidRPr="00000000">
        <w:rPr>
          <w:rtl w:val="0"/>
        </w:rPr>
        <w:t xml:space="preserve">No modification permitted after freeze — append-only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