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MAYHEM-GOV-LANEWAY-001</w:t>
      </w:r>
    </w:p>
    <w:p w:rsidR="00000000" w:rsidDel="00000000" w:rsidP="00000000" w:rsidRDefault="00000000" w:rsidRPr="00000000" w14:paraId="00000002">
      <w:pPr>
        <w:pStyle w:val="Heading1"/>
        <w:rPr/>
      </w:pPr>
      <w:r w:rsidDel="00000000" w:rsidR="00000000" w:rsidRPr="00000000">
        <w:rPr>
          <w:rtl w:val="0"/>
        </w:rPr>
        <w:t xml:space="preserve">LATTICE ATLAS — TOPOLOGY SYNTHESIS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Session: </w:t>
      </w:r>
      <w:r w:rsidDel="00000000" w:rsidR="00000000" w:rsidRPr="00000000">
        <w:rPr>
          <w:rtl w:val="0"/>
        </w:rPr>
        <w:t xml:space="preserve">001</w:t>
      </w:r>
    </w:p>
    <w:p w:rsidR="00000000" w:rsidDel="00000000" w:rsidP="00000000" w:rsidRDefault="00000000" w:rsidRPr="00000000" w14:paraId="00000005">
      <w:pPr>
        <w:rPr/>
      </w:pPr>
      <w:r w:rsidDel="00000000" w:rsidR="00000000" w:rsidRPr="00000000">
        <w:rPr>
          <w:b w:val="1"/>
          <w:bCs w:val="1"/>
          <w:rtl w:val="0"/>
        </w:rPr>
        <w:t xml:space="preserve">Date: </w:t>
      </w:r>
      <w:r w:rsidDel="00000000" w:rsidR="00000000" w:rsidRPr="00000000">
        <w:rPr>
          <w:rtl w:val="0"/>
        </w:rPr>
        <w:t xml:space="preserve">2026-07-18</w:t>
      </w:r>
    </w:p>
    <w:p w:rsidR="00000000" w:rsidDel="00000000" w:rsidP="00000000" w:rsidRDefault="00000000" w:rsidRPr="00000000" w14:paraId="00000006">
      <w:pPr>
        <w:rPr/>
      </w:pPr>
      <w:r w:rsidDel="00000000" w:rsidR="00000000" w:rsidRPr="00000000">
        <w:rPr>
          <w:b w:val="1"/>
          <w:bCs w:val="1"/>
          <w:rtl w:val="0"/>
        </w:rPr>
        <w:t xml:space="preserve">Input Surfaces: </w:t>
      </w:r>
      <w:r w:rsidDel="00000000" w:rsidR="00000000" w:rsidRPr="00000000">
        <w:rPr>
          <w:rtl w:val="0"/>
        </w:rPr>
        <w:t xml:space="preserve">DFAPTI-ER (51 entries, frozen) | DFAPTA-AR (15 paths, frozen)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Bdr>
          <w:bottom w:color="000000" w:space="0" w:sz="6" w:val="single"/>
        </w:pBd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TOPOLOGY REGISTER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Load-bearing nodes: 4</w:t>
      </w:r>
    </w:p>
    <w:p w:rsidR="00000000" w:rsidDel="00000000" w:rsidP="00000000" w:rsidRDefault="00000000" w:rsidRPr="00000000" w14:paraId="0000000D">
      <w:pPr>
        <w:rPr/>
      </w:pPr>
      <w:r w:rsidDel="00000000" w:rsidR="00000000" w:rsidRPr="00000000">
        <w:rPr>
          <w:rtl w:val="0"/>
        </w:rPr>
        <w:t xml:space="preserve">— Stress points: 2</w:t>
      </w:r>
    </w:p>
    <w:p w:rsidR="00000000" w:rsidDel="00000000" w:rsidP="00000000" w:rsidRDefault="00000000" w:rsidRPr="00000000" w14:paraId="0000000E">
      <w:pPr>
        <w:rPr/>
      </w:pPr>
      <w:r w:rsidDel="00000000" w:rsidR="00000000" w:rsidRPr="00000000">
        <w:rPr>
          <w:rtl w:val="0"/>
        </w:rPr>
        <w:t xml:space="preserve">— Structured absences: 3</w:t>
      </w:r>
    </w:p>
    <w:p w:rsidR="00000000" w:rsidDel="00000000" w:rsidP="00000000" w:rsidRDefault="00000000" w:rsidRPr="00000000" w14:paraId="0000000F">
      <w:pPr>
        <w:rPr/>
      </w:pPr>
      <w:r w:rsidDel="00000000" w:rsidR="00000000" w:rsidRPr="00000000">
        <w:rPr>
          <w:rtl w:val="0"/>
        </w:rPr>
        <w:t xml:space="preserve">— Convergence findings: 1 primary</w:t>
      </w:r>
    </w:p>
    <w:p w:rsidR="00000000" w:rsidDel="00000000" w:rsidP="00000000" w:rsidRDefault="00000000" w:rsidRPr="00000000" w14:paraId="00000010">
      <w:pPr>
        <w:rPr/>
      </w:pPr>
      <w:r w:rsidDel="00000000" w:rsidR="00000000" w:rsidRPr="00000000">
        <w:rPr>
          <w:rtl w:val="0"/>
        </w:rPr>
        <w:t xml:space="preserve">— Isolated signals: 1</w:t>
      </w:r>
    </w:p>
    <w:p w:rsidR="00000000" w:rsidDel="00000000" w:rsidP="00000000" w:rsidRDefault="00000000" w:rsidRPr="00000000" w14:paraId="00000011">
      <w:pPr>
        <w:rPr/>
      </w:pPr>
      <w:r w:rsidDel="00000000" w:rsidR="00000000" w:rsidRPr="00000000">
        <w:rPr>
          <w:rtl w:val="0"/>
        </w:rPr>
        <w:t xml:space="preserve">— Emergent patterns: 3</w:t>
      </w:r>
    </w:p>
    <w:p w:rsidR="00000000" w:rsidDel="00000000" w:rsidP="00000000" w:rsidRDefault="00000000" w:rsidRPr="00000000" w14:paraId="00000012">
      <w:pPr>
        <w:rPr/>
      </w:pPr>
      <w:r w:rsidDel="00000000" w:rsidR="00000000" w:rsidRPr="00000000">
        <w:rPr>
          <w:rtl w:val="0"/>
        </w:rPr>
        <w:t xml:space="preserve">— Harm externalisation map: Included — relationship: INVERTED</w:t>
      </w:r>
    </w:p>
    <w:p w:rsidR="00000000" w:rsidDel="00000000" w:rsidP="00000000" w:rsidRDefault="00000000" w:rsidRPr="00000000" w14:paraId="00000013">
      <w:pPr>
        <w:rPr/>
      </w:pPr>
      <w:r w:rsidDel="00000000" w:rsidR="00000000" w:rsidRPr="00000000">
        <w:rPr>
          <w:rtl w:val="0"/>
        </w:rPr>
        <w:t xml:space="preserve">— Trajectory Direction Declaration: Included — classification: DEGRADING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bottom w:color="000000" w:space="0" w:sz="6" w:val="single"/>
        </w:pBd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LOAD-BEARING NODES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Load-bearing nodes are findings where multiple independent analytical paths arrived at materially equivalent observations without shared assumptions.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r w:rsidDel="00000000" w:rsidR="00000000" w:rsidRPr="00000000">
        <w:rPr>
          <w:rtl w:val="0"/>
        </w:rPr>
        <w:t xml:space="preserve">Node 1 — The Maintenance-Disclaimer Inversion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Four paths independently arrive at the same structural observation from different analytical starting points: Maintenance Obligation Analysis (Path Two), Service Delivery Contradiction Analysis (Path Six), GOVFAIL Consent Architecture (Path Nine), and GOVFAIL Legitimacy-Output Decoupling (Path Eight). None share operative assumptions. Each approaches the same structural feature from a distinct lens — statutory obligation, operational records, ratepayer accountability, and compliance documentation respectively — and each arrives at the same finding: Council is functionally operating as the maintenance authority while simultaneously disclaiming that status. This is not a single-path observation. It is a cross-mechanism structural feature confirmed by four independent analytical lenses.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Weight: </w:t>
      </w:r>
      <w:r w:rsidDel="00000000" w:rsidR="00000000" w:rsidRPr="00000000">
        <w:rPr>
          <w:rtl w:val="0"/>
        </w:rPr>
        <w:t xml:space="preserve">highest in the topology. This node is load-bearing for the entire investigation.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r w:rsidDel="00000000" w:rsidR="00000000" w:rsidRPr="00000000">
        <w:rPr>
          <w:rtl w:val="0"/>
        </w:rPr>
        <w:t xml:space="preserve">Node 2 — The Circular Loop as Structural Design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Three paths independently identify the circular deflection loop not as an administrative gap but as a structural feature with its own internal logic: Complaint Pathway Analysis (Path Three), Structural Harm Mechanisms (Path Twelve — Circular Deflection Loop), and GOVFAIL Self-Remediation Assessment (Path Ten — Resident: Structurally Blocked). The loop is confirmed in both entities’ own published guidance. Self-remediation is available to Council and constrained for Crown Lands but structurally blocked for the resident. The three paths converge on a finding that the loop is not a malfunction — it is the operational state. No action by either entity closes the loop on its own. The loop can only be broken by a transfer instrument or a compelled policy adoption. Neither is within the resident’s power to initiate.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r w:rsidDel="00000000" w:rsidR="00000000" w:rsidRPr="00000000">
        <w:rPr>
          <w:rtl w:val="0"/>
        </w:rPr>
        <w:t xml:space="preserve">Node 3 — Tenure Unverification as Active Condition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Three paths converge on the structural significance of the tenure gap from different angles: Tenure Analysis (Path One), Historical Origin Analysis (Path Five), and Transfer Eligibility Analysis (Path Four). Council’s disclaimer rests on a tenure classification it has not verified. The historical origin analysis shows the most parsimonious explanation is Crown road status since 1892. The transfer eligibility analysis shows Crown Lands’ own policy would require transfer if tenure is Crown road and Council is maintaining it. The three paths together produce a finding that does not appear in any single path: the tenure gap is simultaneously the basis of Council’s disclaimer, the condition that makes transfer eligible, and the evidentiary gap that prevents any party from resolving the matter without formal action. The unverification is not a gap pending resolution — it is the condition that sustains all other gaps.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t xml:space="preserve">Node 4 — Resident Structural Exclusion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Four paths converge on resident structural exclusion from different entry points: Resident Harm Analysis (Path Seven), Silent Rights Removal (Path Thirteen), GOVFAIL Harm Externalisation Map (Path Eleven), and GOVFAIL Consent Architecture (Path Nine). The exclusion is not only from practical access to maintenance accountability. It is from: the transfer mechanism (government-to-government, resident not a party), the gazette process (government instrument, no resident standing), the consent architecture (accountability chain broken at delivery point), and the formal right of access (right in form only, withdrawable without consequence). Four independent paths confirm the exclusion operates across every relevant accountability axis simultaneously.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bottom w:color="000000" w:space="0" w:sz="6" w:val="single"/>
        </w:pBd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STRESS POINTS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Stress points are locations where independent paths produce findings that are in tension and where the tension itself carries structural weight.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r w:rsidDel="00000000" w:rsidR="00000000" w:rsidRPr="00000000">
        <w:rPr>
          <w:rtl w:val="0"/>
        </w:rPr>
        <w:t xml:space="preserve">Stress Point 1 — De Facto Authority vs Formal Disclaimer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tension between Path Two (Maintenance Obligation Analysis — Council is de facto maintaining entity) and Path One (Tenure Analysis — the legal obligation rests with the Crown roads authority, not Council) produces a structural stress that neither path resolves. Council is performing a function it does not hold formal authority for. The performance generates transfer eligibility under Crown Lands’ own policy. The performance simultaneously generates the appearance of a managed asset in Council’s own records. The disclaimer at the complaint point contradicts both the function and the record. The stress point is that Council cannot maintain the laneway without generating evidence against its own disclaimer and cannot disclaim the laneway without abandoning a function that no other entity will perform.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rtl w:val="0"/>
        </w:rPr>
        <w:t xml:space="preserve">Stress Point 2 — Right Intact, Right Functionless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tension between Path Thirteen (Silent Rights Removal — the formal right of access has never been extinguished) and Path Seven (Resident Harm Analysis — the resident has no pathway to enforce that right) produces a stress that is specific to this case’s legal architecture. The right of public passage on a Crown road is not a contested right. It is a clear statutory entitlement that has never been formally removed. But it is a right with no enforcement agent, no maintenance obligation, and no complaint pathway that survives the circular deflection loop. A right whose functional exercise cannot be demanded is not a right in any operational sense. The stress between the formal right and its functional emptiness is the deepest legal stress in this topology.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Bdr>
          <w:bottom w:color="000000" w:space="0" w:sz="6" w:val="single"/>
        </w:pBd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STRUCTURED ABSENCES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Structured absences are locations where multiple paths are silent on the same matter, and where that silence carries evidential weight under the absence-as-evidence doctrine.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Structured Absence 1 — No Entity Has Sought Resolution in 134 Years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Every path that touches the historical record (Paths One, Five, Fourteen) arrives at the same absence: no instrument has been located that any entity — Council, Crown Lands, any predecessor — ever attempted to resolve the tenure or maintenance question for this parcel. The 1892 gazettal created the parcel. The 2016 Crown Land Management Act created a modernised framework. The 2021 KSC Crown Land Plan of Management passed without the parcel being identified. The 2025/26 Operational Plan passed without the parcel being addressed. Across 134 years of governance activity, the structured absence is total. Not deferred — absent.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t xml:space="preserve">Structured Absence 2 — No Internal Written Position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Paths Three, Eight, and Ten all arrive at the same absence from different angles: no publicly accessible document records Council’s internal jurisdictional position on the laneway. The deflection exists. The position is not documented. A council that verbally deflects a maintenance complaint without producing a written position has not created an accountable record. The absence is not incidental — it is the mechanism that prevents the complaint pathway from generating a document the resident can escalate with.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Structured Absence 3 — No Transfer Request, No Transfer Initiation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Paths Four and Fourteen both arrive at the same absence: no transfer has been requested or initiated despite eligibility being met by Council’s own maintenance activity. Under Crown Lands Policy IND-O-250, the conditions for transfer have been met. The mechanism exists. The eligibility is satisfied. The absence of any transfer action by either entity — across the entire period in which the maintenance has been occurring — is a structured absence. It is not an administrative backlog. It is a permanent non-action on a permanently eligible mechanism.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Bdr>
          <w:bottom w:color="000000" w:space="0" w:sz="6" w:val="single"/>
        </w:pBd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CONVERGENCE FINDING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 xml:space="preserve">Primary Convergence — The Mutual Non-Action Architecture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single most significant structural finding produced by the topology is not visible in any individual path. It emerges from the intersection of Load-Bearing Node 1 (maintenance-disclaimer inversion), Load-Bearing Node 3 (tenure unverification as active condition), Structured Absence 1 (no resolution in 134 years), and Structured Absence 3 (no transfer request despite eligibility).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convergence finding: both Council and Crown Lands are in a structural position where non-action is the lowest-cost state. Council performs maintenance — which preserves the laneway’s function and avoids resident complaints escalating — while disclaiming the obligation — which avoids formal liability, formal maintenance standards, and formal accountability. Crown Lands holds formal authority while performing no function — which requires no expenditure, no staffing, no governance activity on this parcel. Neither entity has an institutional incentive to change this arrangement. The resident bears all cost. The arrangement is self-sustaining.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Classification: </w:t>
      </w:r>
      <w:r w:rsidDel="00000000" w:rsidR="00000000" w:rsidRPr="00000000">
        <w:rPr>
          <w:rtl w:val="0"/>
        </w:rPr>
        <w:t xml:space="preserve">This is not a gap in the governance architecture. It is the governance architecture in functional equilibrium. The equilibrium is harmful only to the resident. It is costless to both institutions. This convergence finding is the topology’s primary output.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Bdr>
          <w:bottom w:color="000000" w:space="0" w:sz="6" w:val="single"/>
        </w:pBd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ISOLATED SIGNAL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Heritage Classification Without Heritage Instrument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Path Fifteen (Heritage Village Overlay) stands alone across all paths. No other path engages with the heritage dimension. The laneway is a feature of a National Trust-classified heritage village. No specific heritage protection instrument covers the laneway. The isolated signal is that the laneway’s historical origin — 1892 gazettal, physically present since at least 1900 — provides a public interest argument for formalisation that is additional to and independent of the road authority argument. This signal strengthens the advocacy dimension without altering the structural findings. It does not interact with any load-bearing node. Its isolation is not a weakness — it is an additional independent lever available to the Enforcement Notice.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bottom w:color="000000" w:space="0" w:sz="6" w:val="single"/>
        </w:pBd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EMERGENT PATTERN REGISTER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Emergent Pattern 1 — The Self-Sustaining Harm Equilibrium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Generated by: </w:t>
      </w:r>
      <w:r w:rsidDel="00000000" w:rsidR="00000000" w:rsidRPr="00000000">
        <w:rPr>
          <w:rtl w:val="0"/>
        </w:rPr>
        <w:t xml:space="preserve">Primary Convergence Finding, Load-Bearing Node 1, Load-Bearing Node 2, Structured Absences 1 and 3</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pattern is not visible in any single path. It becomes visible only through the intersection of the maintenance-disclaimer inversion, the circular deflection loop, and the 134-year non-action record. The pattern: Council maintains the laneway because not maintaining it would generate immediate visible harm and resident complaints. Council disclaims the laneway because formalising responsibility would create formal standards and formal accountability. Crown Lands does not initiate transfer because the laneway is maintained and generates no complaints to Crown Lands. The system therefore self-maintains in a state of functional harm — the laneway is maintained just enough to prevent visible crisis, not enough to generate the crisis that would force resolution. The resident has no lever that disrupts this equilibrium from outside. The equilibrium sustains itself by never reaching the threshold that would compel intervention.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Structural significance: </w:t>
      </w:r>
      <w:r w:rsidDel="00000000" w:rsidR="00000000" w:rsidRPr="00000000">
        <w:rPr>
          <w:rtl w:val="0"/>
        </w:rPr>
        <w:t xml:space="preserve">highest. This is the mechanism that explains why 134 years have passed without resolution despite the resolution mechanism existing. The Self-Sustaining Harm Equilibrium is the topology’s primary emergent pattern and the most operationally significant finding for the Enforcement Notice.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Emergent Pattern 2 — The Documentation-Accountability Inversion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Generated by: </w:t>
      </w:r>
      <w:r w:rsidDel="00000000" w:rsidR="00000000" w:rsidRPr="00000000">
        <w:rPr>
          <w:rtl w:val="0"/>
        </w:rPr>
        <w:t xml:space="preserve">Load-Bearing Node 1, Structured Absence 2, Path Eight (Legitimacy-Output Decoupling), Path Six (Service Delivery Contradiction)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This pattern is not visible in any single path. Council’s maintenance activity generates documentation — works reports, bin schedules, operational plans — that makes the laneway visible as a serviced asset. That documentation creates the appearance of accountability. But the documentation simultaneously functions as the evidence of Council’s disclaimer’s falsity. The pattern: the more thoroughly Council documents its service activity, the stronger the case against its disclaimer becomes — and the more completely the documentation obscures the accountability gap from any external reviewer who does not dig to the individual complaint level. The documentation is accurate. The accountability is absent. The documentation of service delivery is inversely related to the accountability for service delivery.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Structural significance: </w:t>
      </w:r>
      <w:r w:rsidDel="00000000" w:rsidR="00000000" w:rsidRPr="00000000">
        <w:rPr>
          <w:rtl w:val="0"/>
        </w:rPr>
        <w:t xml:space="preserve">high. This pattern explains why the governance failure is invisible to standard compliance review. A regulator reviewing Council’s published output would find a well-documented road network. The failure only appears at the individual complaint level — where it is not documented.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Emergent Pattern 3 — The Eligibility Loop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Generated by: </w:t>
      </w:r>
      <w:r w:rsidDel="00000000" w:rsidR="00000000" w:rsidRPr="00000000">
        <w:rPr>
          <w:rtl w:val="0"/>
        </w:rPr>
        <w:t xml:space="preserve">Load-Bearing Node 3, Stress Point 1, Transfer Eligibility Analysis (Path Four), Structured Absence 3</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pattern is not visible in any single path. Council’s maintenance activity generates transfer eligibility under Crown Lands’ own policy. Transfer eligibility, if acted on, would resolve the tenure gap. Resolving the tenure gap would remove the basis for Council’s disclaimer. Removing the disclaimer would formalise the obligation Council is already performing. The pattern: Council is performing the function that generates the eligibility that would compel the formalisation of the function Council is performing. The eligibility mechanism converts Council’s own maintenance activity into the instrument of its own formal accountability — if triggered. Council’s non-triggering of the mechanism allows the maintenance to continue without the accountability. The eligibility exists. The loop remains open. The opening of the loop is the gap the Enforcement Notice must close.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Structural significance: </w:t>
      </w:r>
      <w:r w:rsidDel="00000000" w:rsidR="00000000" w:rsidRPr="00000000">
        <w:rPr>
          <w:rtl w:val="0"/>
        </w:rPr>
        <w:t xml:space="preserve">high. This pattern identifies the specific mechanism through which the Enforcement Notice can operate. The transfer request is the lever. The lever is grounded in Crown Lands’ own policy. The lever does not require new legislation or new policy. It requires naming the mechanism and compelling its activation.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Bdr>
          <w:bottom w:color="000000" w:space="0" w:sz="6" w:val="single"/>
        </w:pBd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HARM EXTERNALISATION MAP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Relationship classification: </w:t>
      </w:r>
      <w:r w:rsidDel="00000000" w:rsidR="00000000" w:rsidRPr="00000000">
        <w:rPr>
          <w:rtl w:val="0"/>
        </w:rPr>
        <w:t xml:space="preserve">INVERTED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Power-holding actors — Kempsey Shire Council: </w:t>
      </w:r>
      <w:r w:rsidDel="00000000" w:rsidR="00000000" w:rsidRPr="00000000">
        <w:rPr>
          <w:rtl w:val="0"/>
        </w:rPr>
        <w:t xml:space="preserve">maintenance capability, operational budget, service delivery infrastructure, elected accountability, complaint gateway, capacity to request transfer.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Power-holding actors — NSW Crown Lands / Minister: </w:t>
      </w:r>
      <w:r w:rsidDel="00000000" w:rsidR="00000000" w:rsidRPr="00000000">
        <w:rPr>
          <w:rtl w:val="0"/>
        </w:rPr>
        <w:t xml:space="preserve">formal tenure authority, transfer initiation power, gazette authority, legislative mandate.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Harm-bearing population: </w:t>
      </w:r>
      <w:r w:rsidDel="00000000" w:rsidR="00000000" w:rsidRPr="00000000">
        <w:rPr>
          <w:rtl w:val="0"/>
        </w:rPr>
        <w:t xml:space="preserve">residents of Bellbrook whose properties adjoin the laneway; residents who have raised or would raise maintenance concerns; all residents who depend on the laneway’s continued function without being able to hold any entity formally accountable for 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Institutional standing of harm-bearing population in primary enforcement mechanisms: </w:t>
      </w:r>
      <w:r w:rsidDel="00000000" w:rsidR="00000000" w:rsidRPr="00000000">
        <w:rPr>
          <w:rtl w:val="0"/>
        </w:rPr>
        <w:t xml:space="preserve">nil. The transfer mechanism is a government-to-government instrument. The gazette process requires no resident input. The GIPA application pathway returns records but cannot compel action. The OLG and NSW Ombudsman pathways require preconditions that Council’s own systems do not currently generate. The resident cannot initiate any of the mechanisms that would resolve the gap.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Cost to power-holding actors from current arrangement: </w:t>
      </w:r>
      <w:r w:rsidDel="00000000" w:rsidR="00000000" w:rsidRPr="00000000">
        <w:rPr>
          <w:rtl w:val="0"/>
        </w:rPr>
        <w:t xml:space="preserve">nil. The arrangement is operationally beneficial to both institutions — Council receives the functional benefit of a maintained access route without formal liability; Crown Lands receives no obligations without performing any function.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Cost to harm-bearing population: </w:t>
      </w:r>
      <w:r w:rsidDel="00000000" w:rsidR="00000000" w:rsidRPr="00000000">
        <w:rPr>
          <w:rtl w:val="0"/>
        </w:rPr>
        <w:t xml:space="preserve">full. Access dependency without accountability, complaint without resolution, rights in form without enforcement.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Bdr>
          <w:bottom w:color="000000" w:space="0" w:sz="6" w:val="single"/>
        </w:pBd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TRAJECTORY DIRECTION DECLARATION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Indicators assessed: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Tenure resolution trajectory: </w:t>
      </w:r>
      <w:r w:rsidDel="00000000" w:rsidR="00000000" w:rsidRPr="00000000">
        <w:rPr>
          <w:rtl w:val="0"/>
        </w:rPr>
        <w:t xml:space="preserve">Declining. Each planning cycle that passes without addressing the parcel deepens the structural entrenchment. The 2021 Plan of Management and 2025/26 Operational Plan both passed without action.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Complaint pathway adequacy trajectory: </w:t>
      </w:r>
      <w:r w:rsidDel="00000000" w:rsidR="00000000" w:rsidRPr="00000000">
        <w:rPr>
          <w:rtl w:val="0"/>
        </w:rPr>
        <w:t xml:space="preserve">Declining. No evidence of KSC publishing a Complaints Handling Policy or documented multi-tier escalation process. The gap flagged in the evidence register has no known countervailing action.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Transfer mechanism activation trajectory: </w:t>
      </w:r>
      <w:r w:rsidDel="00000000" w:rsidR="00000000" w:rsidRPr="00000000">
        <w:rPr>
          <w:rtl w:val="0"/>
        </w:rPr>
        <w:t xml:space="preserve">Declining. Eligibility has been met since maintenance began. No transfer request has been located across the entire period. No indication of Crown Lands initiating transfer. The mechanism is available and unused.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Resident accountability access trajectory: </w:t>
      </w:r>
      <w:r w:rsidDel="00000000" w:rsidR="00000000" w:rsidRPr="00000000">
        <w:rPr>
          <w:rtl w:val="0"/>
        </w:rPr>
        <w:t xml:space="preserve">Declining. The circular deflection loop is the current operational state of both entities’ published guidance. No pathway improvement has been documented.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All four trajectory indicators move in the same direction.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Trajectory Direction Declaration: DEGRADING.</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Convergence assessment: </w:t>
      </w:r>
      <w:r w:rsidDel="00000000" w:rsidR="00000000" w:rsidRPr="00000000">
        <w:rPr>
          <w:rtl w:val="0"/>
        </w:rPr>
        <w:t xml:space="preserve">all four indicators are declining simultaneously. No countervailing force is currently operative in the evidence. The convergence means the Self-Sustaining Harm Equilibrium (Emergent Pattern 1) has no current structural disruptor. External compulsion — the Enforcement Notice — is the only mechanism identified in this topology capable of disrupting the equilibrium.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Bdr>
          <w:bottom w:color="000000" w:space="0" w:sz="6" w:val="single"/>
        </w:pBd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LATTICE ATLAS — TOPOLOGY DECLARATION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Four load-bearing nodes. Two stress points. Three structured absences. One primary convergence finding. One isolated signal. Three emergent patterns. Harm externalisation map: INVERTED. Trajectory Direction Declaration: DEGRADING.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topology passes to the Temporal Projection Integrity Engine. All forward-facing observations from this topology require classification before advancing to Enforcement Notice. No forward-facing output advances without passing through the Temporal Projection Integrity Engine gate.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Topology Frozen: </w:t>
      </w:r>
      <w:r w:rsidDel="00000000" w:rsidR="00000000" w:rsidRPr="00000000">
        <w:rPr>
          <w:rtl w:val="0"/>
        </w:rPr>
        <w:t xml:space="preserve">2026-07-18</w:t>
      </w:r>
    </w:p>
    <w:p w:rsidR="00000000" w:rsidDel="00000000" w:rsidP="00000000" w:rsidRDefault="00000000" w:rsidRPr="00000000" w14:paraId="000000AC">
      <w:pPr>
        <w:rPr/>
      </w:pPr>
      <w:r w:rsidDel="00000000" w:rsidR="00000000" w:rsidRPr="00000000">
        <w:rPr>
          <w:b w:val="1"/>
          <w:bCs w:val="1"/>
          <w:rtl w:val="0"/>
        </w:rPr>
        <w:t xml:space="preserve">Status: </w:t>
      </w:r>
      <w:r w:rsidDel="00000000" w:rsidR="00000000" w:rsidRPr="00000000">
        <w:rPr>
          <w:rtl w:val="0"/>
        </w:rPr>
        <w:t xml:space="preserve">Admissible as input to Temporal Projection Integrity Engine</w:t>
      </w:r>
    </w:p>
    <w:p w:rsidR="00000000" w:rsidDel="00000000" w:rsidP="00000000" w:rsidRDefault="00000000" w:rsidRPr="00000000" w14:paraId="000000AD">
      <w:pPr>
        <w:rPr/>
      </w:pPr>
      <w:r w:rsidDel="00000000" w:rsidR="00000000" w:rsidRPr="00000000">
        <w:rPr>
          <w:b w:val="1"/>
          <w:bCs w:val="1"/>
          <w:rtl w:val="0"/>
        </w:rPr>
        <w:t xml:space="preserve">Modification Status: </w:t>
      </w:r>
      <w:r w:rsidDel="00000000" w:rsidR="00000000" w:rsidRPr="00000000">
        <w:rPr>
          <w:rtl w:val="0"/>
        </w:rPr>
        <w:t xml:space="preserve">No modification permitted after freeze — append-only</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