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EVIDENTIARY PACKAGE AND STATE-LEVEL ACTION BLUEPRINT</w:t>
      </w:r>
    </w:p>
    <w:p>
      <w:pPr>
        <w:spacing w:after="80"/>
      </w:pPr>
      <w:r>
        <w:rPr>
          <w:rFonts w:ascii="Arial" w:cs="Arial" w:eastAsia="Arial" w:hAnsi="Arial"/>
          <w:i/>
          <w:iCs/>
          <w:color w:val="404040"/>
          <w:sz w:val="24"/>
          <w:szCs w:val="24"/>
        </w:rPr>
        <w:t xml:space="preserve">Systemic Administrative Maladministration, Workplace Health and Safety Breaches, and Non-Execution of Public Mandates</w:t>
      </w:r>
    </w:p>
    <w:p>
      <w:r>
        <w:t xml:space="preserve"/>
      </w:r>
    </w:p>
    <w:p>
      <w:pPr>
        <w:spacing w:after="140"/>
      </w:pPr>
      <w:r>
        <w:rPr>
          <w:b/>
          <w:bCs/>
        </w:rPr>
        <w:t xml:space="preserve">Matter: </w:t>
      </w:r>
      <w:r>
        <w:t xml:space="preserve">Administrative Non-Execution of Council Resolution 2025.80 and Consequential Failure to Manage a Known Public Health and Safety Hazard</w:t>
      </w:r>
    </w:p>
    <w:p>
      <w:pPr>
        <w:spacing w:after="140"/>
      </w:pPr>
      <w:r>
        <w:rPr>
          <w:b/>
          <w:bCs/>
        </w:rPr>
        <w:t xml:space="preserve">Target Zone: </w:t>
      </w:r>
      <w:r>
        <w:t xml:space="preserve">Central Bellbrook Park, Public Playground, and Surrounding Civic Infrastructure</w:t>
      </w:r>
    </w:p>
    <w:p>
      <w:pPr>
        <w:spacing w:after="140"/>
      </w:pPr>
      <w:r>
        <w:rPr>
          <w:b/>
          <w:bCs/>
        </w:rPr>
        <w:t xml:space="preserve">Responsible Entity: </w:t>
      </w:r>
      <w:r>
        <w:t xml:space="preserve">Kempsey Shire Council — Executive Branch and Administration</w:t>
      </w:r>
    </w:p>
    <w:p>
      <w:pPr>
        <w:spacing w:after="140"/>
      </w:pPr>
      <w:r>
        <w:rPr>
          <w:b/>
          <w:bCs/>
        </w:rPr>
        <w:t xml:space="preserve">Chronological Focus: </w:t>
      </w:r>
      <w:r>
        <w:t xml:space="preserve">2022 to 2026 Multi-Year Record of Notice and Non-Execution</w:t>
      </w:r>
    </w:p>
    <w:p>
      <w:r>
        <w:t xml:space="preserve"/>
      </w:r>
    </w:p>
    <w:p>
      <w:pPr>
        <w:pStyle w:val="Heading1"/>
      </w:pPr>
      <w:r>
        <w:t xml:space="preserve">Part 1: Chronological Record of Notice</w:t>
      </w:r>
    </w:p>
    <w:p>
      <w:pPr>
        <w:spacing w:after="140"/>
      </w:pPr>
      <w:r>
        <w:t xml:space="preserve">The documentation compiled through systematic community reporting establishes a baseline of local government awareness across multiple calendar years. This record precludes any administrative reliance on absence of notice as a basis for non-action.</w:t>
      </w:r>
    </w:p>
    <w:p>
      <w:pPr>
        <w:pStyle w:val="Heading2"/>
      </w:pPr>
      <w:r>
        <w:t xml:space="preserve">1.1 The Multi-Year Notice Base (2022–2025)</w:t>
      </w:r>
    </w:p>
    <w:p>
      <w:pPr>
        <w:spacing w:after="140"/>
      </w:pPr>
      <w:r>
        <w:t xml:space="preserve">Official correspondence and community support requests compiled by primary community advocate Paul Hodgkinson establish the following chronological record:</w:t>
      </w:r>
    </w:p>
    <w:p>
      <w:pPr>
        <w:pStyle w:val="ListParagraph"/>
        <w:numPr>
          <w:ilvl w:val="0"/>
          <w:numId w:val="2"/>
        </w:numPr>
        <w:spacing w:after="100"/>
      </w:pPr>
      <w:r>
        <w:t xml:space="preserve">The flying-fox colony occupied central Bellbrook Park beginning December 2019.</w:t>
      </w:r>
    </w:p>
    <w:p>
      <w:pPr>
        <w:pStyle w:val="ListParagraph"/>
        <w:numPr>
          <w:ilvl w:val="0"/>
          <w:numId w:val="2"/>
        </w:numPr>
        <w:spacing w:after="100"/>
      </w:pPr>
      <w:r>
        <w:t xml:space="preserve">Following a temporary departure, the colony returned to the park in mid-2022 with a materially increased population size. [Note: population size claims require quantified source data to be submitted as Tier 1–2 evidence. “Exponential” growth language is not used here absent supporting survey data.]</w:t>
      </w:r>
    </w:p>
    <w:p>
      <w:pPr>
        <w:pStyle w:val="ListParagraph"/>
        <w:numPr>
          <w:ilvl w:val="0"/>
          <w:numId w:val="2"/>
        </w:numPr>
        <w:spacing w:after="100"/>
      </w:pPr>
      <w:r>
        <w:t xml:space="preserve">The colony occupied public spaces including the local primary school, the police station, the Rural Fire Service station, and residential properties.</w:t>
      </w:r>
    </w:p>
    <w:p>
      <w:pPr>
        <w:pStyle w:val="ListParagraph"/>
        <w:numPr>
          <w:ilvl w:val="0"/>
          <w:numId w:val="2"/>
        </w:numPr>
        <w:spacing w:after="100"/>
      </w:pPr>
      <w:r>
        <w:t xml:space="preserve">Community-documented harm categories include: public amenity degradation, property damage, and sustained disruption to residential and civic use of affected spaces.</w:t>
      </w:r>
    </w:p>
    <w:p>
      <w:r>
        <w:t xml:space="preserve"/>
      </w:r>
    </w:p>
    <w:p>
      <w:pPr>
        <w:pStyle w:val="Heading2"/>
      </w:pPr>
      <w:r>
        <w:t xml:space="preserve">1.2 The Council’s Stated Basis for Non-Action</w:t>
      </w:r>
    </w:p>
    <w:p>
      <w:pPr>
        <w:spacing w:after="140"/>
      </w:pPr>
      <w:r>
        <w:t xml:space="preserve">Throughout the period 2022 to 2025, council representatives communicated to community members — verbally and in writing — that no management action was available because the flying-fox species is protected under state law.</w:t>
      </w:r>
    </w:p>
    <w:p>
      <w:pPr>
        <w:spacing w:after="140"/>
      </w:pPr>
      <w:r>
        <w:t xml:space="preserve">This stated position is inconsistent with the operative statutory framework. The Flying-fox Camp Management Code of Practice 2018 grants public land managers pre-approved, self-executing authority to conduct targeted physical interventions on public land without individual licensing, regulatory approval, or statutory delay.</w:t>
      </w:r>
    </w:p>
    <w:p>
      <w:pPr>
        <w:spacing w:after="140"/>
      </w:pPr>
      <w:r>
        <w:t xml:space="preserve">The council held this authority throughout the duration of the documented notice period. The stated basis for non-action does not withstand comparison to the Code of Practice provisions set out in Part 4 of this document.</w:t>
      </w:r>
    </w:p>
    <w:p>
      <w:r>
        <w:t xml:space="preserve"/>
      </w:r>
    </w:p>
    <w:p>
      <w:pPr>
        <w:pStyle w:val="Heading1"/>
      </w:pPr>
      <w:r>
        <w:t xml:space="preserve">Part 2: The Procedural Record and the October Omission</w:t>
      </w:r>
    </w:p>
    <w:p>
      <w:pPr>
        <w:pStyle w:val="Heading2"/>
      </w:pPr>
      <w:r>
        <w:t xml:space="preserve">2.1 The May 2025 Chamber Record (Resolutions 2025.79 and 2025.80)</w:t>
      </w:r>
    </w:p>
    <w:p>
      <w:pPr>
        <w:spacing w:after="140"/>
      </w:pPr>
      <w:r>
        <w:t xml:space="preserve">On 20 May 2025, the compiled history of community harm was formally placed before the council chamber. The following procedural record was established:</w:t>
      </w:r>
    </w:p>
    <w:p>
      <w:pPr>
        <w:pStyle w:val="ListParagraph"/>
        <w:numPr>
          <w:ilvl w:val="0"/>
          <w:numId w:val="2"/>
        </w:numPr>
        <w:spacing w:after="100"/>
      </w:pPr>
      <w:r>
        <w:t xml:space="preserve">Resolution 2025.79 passed, extending statutory meeting hours to 4:00 PM to accommodate the Bellbrook agenda item.</w:t>
      </w:r>
    </w:p>
    <w:p>
      <w:pPr>
        <w:pStyle w:val="ListParagraph"/>
        <w:numPr>
          <w:ilvl w:val="0"/>
          <w:numId w:val="2"/>
        </w:numPr>
        <w:spacing w:after="100"/>
      </w:pPr>
      <w:r>
        <w:t xml:space="preserve">An amendment was introduced to absorb the Bellbrook matter into the shire-wide Rudder Park Management Plan modification process. This amendment was defeated 2/7.</w:t>
      </w:r>
    </w:p>
    <w:p>
      <w:pPr>
        <w:pStyle w:val="ListParagraph"/>
        <w:numPr>
          <w:ilvl w:val="0"/>
          <w:numId w:val="2"/>
        </w:numPr>
        <w:spacing w:after="100"/>
      </w:pPr>
      <w:r>
        <w:t xml:space="preserve">By defeating the macro-alignment amendment, the chamber elected to treat Bellbrook as a standalone operational matter rather than a shire-wide planning matter. This removal of macro-plan alignment as a valid deferral mechanism is recorded in the chamber vote.</w:t>
      </w:r>
    </w:p>
    <w:p>
      <w:pPr>
        <w:pStyle w:val="ListParagraph"/>
        <w:numPr>
          <w:ilvl w:val="0"/>
          <w:numId w:val="2"/>
        </w:numPr>
        <w:spacing w:after="100"/>
      </w:pPr>
      <w:r>
        <w:t xml:space="preserve">Resolution 2025.80 passed 9/0 — unanimous. The directive to the executive branch comprised: (a) facilitation of a community engagement meeting; (b) active investigation of physical Level 1 management options; (c) reporting of outcomes to the open chamber by the October ordinary council meeting.</w:t>
      </w:r>
    </w:p>
    <w:p>
      <w:r>
        <w:t xml:space="preserve"/>
      </w:r>
    </w:p>
    <w:p>
      <w:pPr>
        <w:pStyle w:val="Heading2"/>
      </w:pPr>
      <w:r>
        <w:t xml:space="preserve">2.2 Post-Resolution Public Communication</w:t>
      </w:r>
    </w:p>
    <w:p>
      <w:pPr>
        <w:spacing w:after="140"/>
      </w:pPr>
      <w:r>
        <w:t xml:space="preserve">Following the May 2025 chamber session, the council distributed public summaries and news-wraps documenting the passage of Resolution 2025.80. These communications characterised the resolution as evidence of active council engagement with the Bellbrook matter.</w:t>
      </w:r>
    </w:p>
    <w:p>
      <w:r>
        <w:t xml:space="preserve"/>
      </w:r>
    </w:p>
    <w:p>
      <w:pPr>
        <w:pStyle w:val="Heading2"/>
      </w:pPr>
      <w:r>
        <w:t xml:space="preserve">2.3 The October Omission</w:t>
      </w:r>
    </w:p>
    <w:p>
      <w:pPr>
        <w:spacing w:after="140"/>
      </w:pPr>
      <w:r>
        <w:t xml:space="preserve">The official signed minutes of the October 2025 ordinary council meeting and all consecutive downstream business cycles examined contain no record of the terms “Bellbrook” or “flying fox.” This absence is recorded across October, November, December 2025, and February 2026 meeting cycles.</w:t>
      </w:r>
    </w:p>
    <w:p>
      <w:pPr>
        <w:spacing w:after="140"/>
      </w:pPr>
      <w:r>
        <w:t xml:space="preserve">No open, voted resolution to defer, extend, or rescind Resolution 2025.80 appears in any of the examined meeting records.</w:t>
      </w:r>
    </w:p>
    <w:p>
      <w:pPr>
        <w:spacing w:after="140"/>
      </w:pPr>
      <w:r>
        <w:t xml:space="preserve">The directive established by a 9/0 unanimous vote was not executed and was not formally referred back to the chamber. No public explanation for the non-execution appears in the recorded minutes.</w:t>
      </w:r>
    </w:p>
    <w:p>
      <w:r>
        <w:t xml:space="preserve"/>
      </w:r>
    </w:p>
    <w:p>
      <w:pPr>
        <w:pStyle w:val="Heading1"/>
      </w:pPr>
      <w:r>
        <w:t xml:space="preserve">Part 3: Canopy Degradation and Expanding Camp Boundaries</w:t>
      </w:r>
    </w:p>
    <w:p>
      <w:pPr>
        <w:pStyle w:val="Heading2"/>
      </w:pPr>
      <w:r>
        <w:t xml:space="preserve">3.1 The Ecosystem Degradation Mechanism</w:t>
      </w:r>
    </w:p>
    <w:p>
      <w:pPr>
        <w:spacing w:after="140"/>
      </w:pPr>
      <w:r>
        <w:t xml:space="preserve">When a colony of this density remains unmanaged within a confined public park structure, the following degradation sequence is observable in documented case studies of equivalent urban roost sites:</w:t>
      </w:r>
    </w:p>
    <w:p>
      <w:pPr>
        <w:pStyle w:val="ListParagraph"/>
        <w:numPr>
          <w:ilvl w:val="0"/>
          <w:numId w:val="2"/>
        </w:numPr>
        <w:spacing w:after="100"/>
      </w:pPr>
      <w:r>
        <w:t xml:space="preserve">Collective weight loading, climbing behaviour, and concentrated excrement defoliate canopy over successive seasons.</w:t>
      </w:r>
    </w:p>
    <w:p>
      <w:pPr>
        <w:pStyle w:val="ListParagraph"/>
        <w:numPr>
          <w:ilvl w:val="0"/>
          <w:numId w:val="2"/>
        </w:numPr>
        <w:spacing w:after="100"/>
      </w:pPr>
      <w:r>
        <w:t xml:space="preserve">Structural dieback and progressive death of mature roosting trees results from sustained loading and chemical contamination.</w:t>
      </w:r>
    </w:p>
    <w:p>
      <w:pPr>
        <w:pStyle w:val="ListParagraph"/>
        <w:numPr>
          <w:ilvl w:val="0"/>
          <w:numId w:val="2"/>
        </w:numPr>
        <w:spacing w:after="100"/>
      </w:pPr>
      <w:r>
        <w:t xml:space="preserve">Loss of thermal protection and roost stability within damaged canopy drives colony expansion outward.</w:t>
      </w:r>
    </w:p>
    <w:p>
      <w:pPr>
        <w:pStyle w:val="ListParagraph"/>
        <w:numPr>
          <w:ilvl w:val="0"/>
          <w:numId w:val="2"/>
        </w:numPr>
        <w:spacing w:after="100"/>
      </w:pPr>
      <w:r>
        <w:t xml:space="preserve">Expansion vectors move the colony boundary over adjacent private properties and civic structures, transferring defoliation and contamination burden onto surrounding landowners.</w:t>
      </w:r>
    </w:p>
    <w:p>
      <w:pPr>
        <w:spacing w:after="140"/>
      </w:pPr>
      <w:r>
        <w:t xml:space="preserve">[Note: The above represents the documented mechanism in comparable managed sites. Site-specific biological survey data for Bellbrook would strengthen this section as formal evidence.]</w:t>
      </w:r>
    </w:p>
    <w:p>
      <w:r>
        <w:t xml:space="preserve"/>
      </w:r>
    </w:p>
    <w:p>
      <w:pPr>
        <w:pStyle w:val="Heading1"/>
      </w:pPr>
      <w:r>
        <w:t xml:space="preserve">Part 4: Available Legal Authority vs. the Non-Action Record</w:t>
      </w:r>
    </w:p>
    <w:p>
      <w:pPr>
        <w:spacing w:after="140"/>
      </w:pPr>
      <w:r>
        <w:t xml:space="preserve">The council’s stated position that no management action was available is not consistent with the Flying-fox Camp Management Code of Practice 2018. The following interventions are pre-approved and do not require individual licensing or regulatory authorisation:</w:t>
      </w:r>
    </w:p>
    <w:p>
      <w:pPr>
        <w:pStyle w:val="Heading2"/>
      </w:pPr>
      <w:r>
        <w:t xml:space="preserve">4.1 Level 1 — Routine Camp Management (Pre-Approved, No Licence Required)</w:t>
      </w:r>
    </w:p>
    <w:p>
      <w:pPr>
        <w:pStyle w:val="ListParagraph"/>
        <w:numPr>
          <w:ilvl w:val="0"/>
          <w:numId w:val="2"/>
        </w:numPr>
        <w:spacing w:after="100"/>
      </w:pPr>
      <w:r>
        <w:t xml:space="preserve">High-pressure cleaning and disinfection of public infrastructure, playground equipment, pathways, and park structures to address concentrated faecal contamination.</w:t>
      </w:r>
    </w:p>
    <w:p>
      <w:pPr>
        <w:pStyle w:val="ListParagraph"/>
        <w:numPr>
          <w:ilvl w:val="0"/>
          <w:numId w:val="2"/>
        </w:numPr>
        <w:spacing w:after="100"/>
      </w:pPr>
      <w:r>
        <w:t xml:space="preserve">Installation of protective structures including shade sails over public play equipment, safety fencing around high-impact roost perimeters, and public health advisory signage.</w:t>
      </w:r>
    </w:p>
    <w:p>
      <w:pPr>
        <w:pStyle w:val="ListParagraph"/>
        <w:numPr>
          <w:ilvl w:val="0"/>
          <w:numId w:val="2"/>
        </w:numPr>
        <w:spacing w:after="100"/>
      </w:pPr>
      <w:r>
        <w:t xml:space="preserve">Routine maintenance: lawn mowing, grass slashing, and exotic weed clearance around roosting vegetation perimeters to preserve safe public access.</w:t>
      </w:r>
    </w:p>
    <w:p>
      <w:r>
        <w:t xml:space="preserve"/>
      </w:r>
    </w:p>
    <w:p>
      <w:pPr>
        <w:pStyle w:val="Heading2"/>
      </w:pPr>
      <w:r>
        <w:t xml:space="preserve">4.2 Level 2 — Buffer Creation (Pre-Approved, No Licence Required)</w:t>
      </w:r>
    </w:p>
    <w:p>
      <w:pPr>
        <w:pStyle w:val="ListParagraph"/>
        <w:numPr>
          <w:ilvl w:val="0"/>
          <w:numId w:val="2"/>
        </w:numPr>
        <w:spacing w:after="100"/>
      </w:pPr>
      <w:r>
        <w:t xml:space="preserve">Lopping, trimming, and pruning of specific branches of roost trees overhanging residential fences, school boundaries, walking tracks, or civic structures.</w:t>
      </w:r>
    </w:p>
    <w:p>
      <w:pPr>
        <w:pStyle w:val="ListParagraph"/>
        <w:numPr>
          <w:ilvl w:val="0"/>
          <w:numId w:val="2"/>
        </w:numPr>
        <w:spacing w:after="100"/>
      </w:pPr>
      <w:r>
        <w:t xml:space="preserve">Removal of non-roosting shrubs, weeds, and low-level vegetation beneath the camp canopy to alter the microclimate and create a spatial buffer up to a maximum distance of 30 metres from any occupied residential building.</w:t>
      </w:r>
    </w:p>
    <w:p>
      <w:r>
        <w:t xml:space="preserve"/>
      </w:r>
    </w:p>
    <w:p>
      <w:pPr>
        <w:pStyle w:val="Heading2"/>
      </w:pPr>
      <w:r>
        <w:t xml:space="preserve">4.3 Operational Constraints Applicable to Both Levels</w:t>
      </w:r>
    </w:p>
    <w:p>
      <w:pPr>
        <w:spacing w:after="140"/>
      </w:pPr>
      <w:r>
        <w:t xml:space="preserve">The Code of Practice attaches the following welfare-based operational conditions to Level 1 and Level 2 interventions:</w:t>
      </w:r>
    </w:p>
    <w:p>
      <w:pPr>
        <w:pStyle w:val="ListParagraph"/>
        <w:numPr>
          <w:ilvl w:val="0"/>
          <w:numId w:val="3"/>
        </w:numPr>
        <w:spacing w:after="80"/>
      </w:pPr>
      <w:r>
        <w:t xml:space="preserve">Branch trimming to be conducted in the evening after the animals have departed to forage.</w:t>
      </w:r>
    </w:p>
    <w:p>
      <w:pPr>
        <w:pStyle w:val="ListParagraph"/>
        <w:numPr>
          <w:ilvl w:val="0"/>
          <w:numId w:val="3"/>
        </w:numPr>
        <w:spacing w:after="80"/>
      </w:pPr>
      <w:r>
        <w:t xml:space="preserve">Work to be avoided during extreme heat stress events and during late-stage breeding cycles.</w:t>
      </w:r>
    </w:p>
    <w:p>
      <w:pPr>
        <w:pStyle w:val="ListParagraph"/>
        <w:numPr>
          <w:ilvl w:val="0"/>
          <w:numId w:val="3"/>
        </w:numPr>
        <w:spacing w:after="80"/>
      </w:pPr>
      <w:r>
        <w:t xml:space="preserve">Standard notice to local wildlife rescue groups to be provided.</w:t>
      </w:r>
    </w:p>
    <w:p>
      <w:pPr>
        <w:spacing w:after="140"/>
      </w:pPr>
      <w:r>
        <w:t xml:space="preserve">These constraints are operational scheduling conditions, not prohibitions. They do not constitute barriers to execution. The council held full legal capacity to execute both Level 1 and Level 2 interventions throughout the duration of the documented notice period.</w:t>
      </w:r>
    </w:p>
    <w:p>
      <w:r>
        <w:t xml:space="preserve"/>
      </w:r>
    </w:p>
    <w:p>
      <w:pPr>
        <w:pStyle w:val="Heading1"/>
      </w:pPr>
      <w:r>
        <w:t xml:space="preserve">Part 5: State-Level Statutory Action — Submission Frameworks</w:t>
      </w:r>
    </w:p>
    <w:p>
      <w:pPr>
        <w:pStyle w:val="Heading2"/>
      </w:pPr>
      <w:r>
        <w:t xml:space="preserve">Submission 1: Office of Local Government NSW</w:t>
      </w:r>
    </w:p>
    <w:p>
      <w:pPr>
        <w:pStyle w:val="Heading3"/>
      </w:pPr>
      <w:r>
        <w:t xml:space="preserve">Matters of Fact</w:t>
      </w:r>
    </w:p>
    <w:p>
      <w:pPr>
        <w:pStyle w:val="ListParagraph"/>
        <w:numPr>
          <w:ilvl w:val="0"/>
          <w:numId w:val="2"/>
        </w:numPr>
        <w:spacing w:after="100"/>
      </w:pPr>
      <w:r>
        <w:t xml:space="preserve">Resolution 2025.80 passed 9/0 on 20 May 2025, directing the executive branch to investigate Level 1 management actions for Bellbrook and report back by the October ordinary meeting.</w:t>
      </w:r>
    </w:p>
    <w:p>
      <w:pPr>
        <w:pStyle w:val="ListParagraph"/>
        <w:numPr>
          <w:ilvl w:val="0"/>
          <w:numId w:val="2"/>
        </w:numPr>
        <w:spacing w:after="100"/>
      </w:pPr>
      <w:r>
        <w:t xml:space="preserve">Signed official minutes for October, November, and December 2025 and February 2026 contain no reference to “Bellbrook” or “flying fox.”</w:t>
      </w:r>
    </w:p>
    <w:p>
      <w:pPr>
        <w:pStyle w:val="ListParagraph"/>
        <w:numPr>
          <w:ilvl w:val="0"/>
          <w:numId w:val="2"/>
        </w:numPr>
        <w:spacing w:after="100"/>
      </w:pPr>
      <w:r>
        <w:t xml:space="preserve">No open, voted resolution deferring or rescinding the directive appears in any examined meeting record.</w:t>
      </w:r>
    </w:p>
    <w:p>
      <w:r>
        <w:t xml:space="preserve"/>
      </w:r>
    </w:p>
    <w:p>
      <w:pPr>
        <w:pStyle w:val="Heading3"/>
      </w:pPr>
      <w:r>
        <w:t xml:space="preserve">Statutory Issue</w:t>
      </w:r>
    </w:p>
    <w:p>
      <w:pPr>
        <w:spacing w:after="140"/>
      </w:pPr>
      <w:r>
        <w:t xml:space="preserve">The executive branch of a local government area does not hold authority under statute or the council’s own governance instruments to unilaterally omit an operative unanimous directive from the business cycle without a corresponding open resolution. The omission of a 9/0 mandate from four consecutive monthly business cycles without recorded referral or explanation constitutes a departure from minimum local government transparency standards.</w:t>
      </w:r>
    </w:p>
    <w:p>
      <w:r>
        <w:t xml:space="preserve"/>
      </w:r>
    </w:p>
    <w:p>
      <w:pPr>
        <w:pStyle w:val="Heading3"/>
      </w:pPr>
      <w:r>
        <w:t xml:space="preserve">Remediation Sought</w:t>
      </w:r>
    </w:p>
    <w:p>
      <w:pPr>
        <w:pStyle w:val="ListParagraph"/>
        <w:numPr>
          <w:ilvl w:val="0"/>
          <w:numId w:val="2"/>
        </w:numPr>
        <w:spacing w:after="100"/>
      </w:pPr>
      <w:r>
        <w:t xml:space="preserve">Structural intervention requiring the public tabling of the mandated Level 1 report.</w:t>
      </w:r>
    </w:p>
    <w:p>
      <w:pPr>
        <w:pStyle w:val="ListParagraph"/>
        <w:numPr>
          <w:ilvl w:val="0"/>
          <w:numId w:val="2"/>
        </w:numPr>
        <w:spacing w:after="100"/>
      </w:pPr>
      <w:r>
        <w:t xml:space="preserve">External audit of the council’s internal resolution tracking and reporting systems.</w:t>
      </w:r>
    </w:p>
    <w:p>
      <w:r>
        <w:t xml:space="preserve"/>
      </w:r>
    </w:p>
    <w:p>
      <w:pPr>
        <w:pStyle w:val="Heading2"/>
      </w:pPr>
      <w:r>
        <w:t xml:space="preserve">Submission 2: NSW Ombudsman</w:t>
      </w:r>
    </w:p>
    <w:p>
      <w:pPr>
        <w:pStyle w:val="Heading3"/>
      </w:pPr>
      <w:r>
        <w:t xml:space="preserve">Matters of Fact</w:t>
      </w:r>
    </w:p>
    <w:p>
      <w:pPr>
        <w:pStyle w:val="ListParagraph"/>
        <w:numPr>
          <w:ilvl w:val="0"/>
          <w:numId w:val="2"/>
        </w:numPr>
        <w:spacing w:after="100"/>
      </w:pPr>
      <w:r>
        <w:t xml:space="preserve">Public announcements and news-wraps of Resolution 2025.80 were distributed by the council following the May 2025 meeting, characterising the resolution as evidence of active management.</w:t>
      </w:r>
    </w:p>
    <w:p>
      <w:pPr>
        <w:pStyle w:val="ListParagraph"/>
        <w:numPr>
          <w:ilvl w:val="0"/>
          <w:numId w:val="2"/>
        </w:numPr>
        <w:spacing w:after="100"/>
      </w:pPr>
      <w:r>
        <w:t xml:space="preserve">The operative content of the resolution — investigation and reporting by October — does not appear in any subsequent meeting records examined.</w:t>
      </w:r>
    </w:p>
    <w:p>
      <w:pPr>
        <w:pStyle w:val="ListParagraph"/>
        <w:numPr>
          <w:ilvl w:val="0"/>
          <w:numId w:val="2"/>
        </w:numPr>
        <w:spacing w:after="100"/>
      </w:pPr>
      <w:r>
        <w:t xml:space="preserve">No public communication was issued by the council to notify the Bellbrook community that the October reporting milestone had not been met.</w:t>
      </w:r>
    </w:p>
    <w:p>
      <w:r>
        <w:t xml:space="preserve"/>
      </w:r>
    </w:p>
    <w:p>
      <w:pPr>
        <w:pStyle w:val="Heading3"/>
      </w:pPr>
      <w:r>
        <w:t xml:space="preserve">Statutory Issue</w:t>
      </w:r>
    </w:p>
    <w:p>
      <w:pPr>
        <w:spacing w:after="140"/>
      </w:pPr>
      <w:r>
        <w:t xml:space="preserve">The council’s external communications characterised the passage of Resolution 2025.80 as active engagement with the Bellbrook matter. The subsequent non-execution of the resolution, without public disclosure or formal deferral, created a material gap between the public representation of council activity and the operational record. This gap constitutes systemic maladministration and misleading public notification under the Ombudsman Act 1974.</w:t>
      </w:r>
    </w:p>
    <w:p>
      <w:r>
        <w:t xml:space="preserve"/>
      </w:r>
    </w:p>
    <w:p>
      <w:pPr>
        <w:pStyle w:val="Heading3"/>
      </w:pPr>
      <w:r>
        <w:t xml:space="preserve">Remediation Sought</w:t>
      </w:r>
    </w:p>
    <w:p>
      <w:pPr>
        <w:pStyle w:val="ListParagraph"/>
        <w:numPr>
          <w:ilvl w:val="0"/>
          <w:numId w:val="2"/>
        </w:numPr>
        <w:spacing w:after="100"/>
      </w:pPr>
      <w:r>
        <w:t xml:space="preserve">Formal findings of administrative deficiency against the council.</w:t>
      </w:r>
    </w:p>
    <w:p>
      <w:pPr>
        <w:pStyle w:val="ListParagraph"/>
        <w:numPr>
          <w:ilvl w:val="0"/>
          <w:numId w:val="2"/>
        </w:numPr>
        <w:spacing w:after="100"/>
      </w:pPr>
      <w:r>
        <w:t xml:space="preserve">Implementation of an external tracking mechanism to monitor and enforce unfulfilled resolutions.</w:t>
      </w:r>
    </w:p>
    <w:p>
      <w:r>
        <w:t xml:space="preserve"/>
      </w:r>
    </w:p>
    <w:p>
      <w:pPr>
        <w:pStyle w:val="Heading2"/>
      </w:pPr>
      <w:r>
        <w:t xml:space="preserve">Submission 3: SafeWork NSW</w:t>
      </w:r>
    </w:p>
    <w:p>
      <w:pPr>
        <w:pStyle w:val="Heading3"/>
      </w:pPr>
      <w:r>
        <w:t xml:space="preserve">Matters of Fact</w:t>
      </w:r>
    </w:p>
    <w:p>
      <w:pPr>
        <w:pStyle w:val="ListParagraph"/>
        <w:numPr>
          <w:ilvl w:val="0"/>
          <w:numId w:val="2"/>
        </w:numPr>
        <w:spacing w:after="100"/>
      </w:pPr>
      <w:r>
        <w:t xml:space="preserve">The council held multi-year documented notice of active faecal contamination at a public playground and civic spaces from 2022 through 2025.</w:t>
      </w:r>
    </w:p>
    <w:p>
      <w:pPr>
        <w:pStyle w:val="ListParagraph"/>
        <w:numPr>
          <w:ilvl w:val="0"/>
          <w:numId w:val="2"/>
        </w:numPr>
        <w:spacing w:after="100"/>
      </w:pPr>
      <w:r>
        <w:t xml:space="preserve">The Flying-fox Camp Management Code of Practice 2018 provided the council with immediate, unlicensed capacity to execute Level 1 hygiene cleaning and Level 2 vegetation buffer actions.</w:t>
      </w:r>
    </w:p>
    <w:p>
      <w:pPr>
        <w:pStyle w:val="ListParagraph"/>
        <w:numPr>
          <w:ilvl w:val="0"/>
          <w:numId w:val="2"/>
        </w:numPr>
        <w:spacing w:after="100"/>
      </w:pPr>
      <w:r>
        <w:t xml:space="preserve">No Level 1 or Level 2 actions were executed during the documented notice period. No records evidencing the investigation mandated by Resolution 2025.80 have been produced.</w:t>
      </w:r>
    </w:p>
    <w:p>
      <w:r>
        <w:t xml:space="preserve"/>
      </w:r>
    </w:p>
    <w:p>
      <w:pPr>
        <w:pStyle w:val="Heading3"/>
      </w:pPr>
      <w:r>
        <w:t xml:space="preserve">Statutory Issue</w:t>
      </w:r>
    </w:p>
    <w:p>
      <w:pPr>
        <w:spacing w:after="140"/>
      </w:pPr>
      <w:r>
        <w:t xml:space="preserve">Under the Work Health and Safety Act 2011, a person conducting a business or undertaking bears a primary duty to ensure, so far as is reasonably practicable, that the workplace and the means of accessing and exiting it are without risks to the health and safety of workers and others. The council’s failure to execute any of the pre-approved management actions available to it under the Code of Practice — despite multi-year documented notice of a recognised contamination hazard at an actively used public facility — constitutes a failure to discharge this duty.</w:t>
      </w:r>
    </w:p>
    <w:p>
      <w:r>
        <w:t xml:space="preserve"/>
      </w:r>
    </w:p>
    <w:p>
      <w:pPr>
        <w:pStyle w:val="Heading3"/>
      </w:pPr>
      <w:r>
        <w:t xml:space="preserve">Remediation Sought</w:t>
      </w:r>
    </w:p>
    <w:p>
      <w:pPr>
        <w:pStyle w:val="ListParagraph"/>
        <w:numPr>
          <w:ilvl w:val="0"/>
          <w:numId w:val="2"/>
        </w:numPr>
        <w:spacing w:after="100"/>
      </w:pPr>
      <w:r>
        <w:t xml:space="preserve">Immediate site inspection of Central Bellbrook Park and associated playground infrastructure.</w:t>
      </w:r>
    </w:p>
    <w:p>
      <w:pPr>
        <w:pStyle w:val="ListParagraph"/>
        <w:numPr>
          <w:ilvl w:val="0"/>
          <w:numId w:val="2"/>
        </w:numPr>
        <w:spacing w:after="100"/>
      </w:pPr>
      <w:r>
        <w:t xml:space="preserve">Issuance of an Improvement Notice compelling the execution of the mandated Level 1 report and physical Level 1 hygiene measures.</w:t>
      </w:r>
    </w:p>
    <w:p>
      <w:pPr>
        <w:pStyle w:val="ListParagraph"/>
        <w:numPr>
          <w:ilvl w:val="0"/>
          <w:numId w:val="2"/>
        </w:numPr>
        <w:spacing w:after="100"/>
      </w:pPr>
      <w:r>
        <w:t xml:space="preserve">Issuance of a Prohibition Notice restricting unrestricted public access to contaminated playground equipment until a documented high-pressure disinfection schedule is implemented in accordance with Code of Practice protocols.</w:t>
      </w:r>
    </w:p>
    <w:p>
      <w:r>
        <w:t xml:space="preserve"/>
      </w:r>
    </w:p>
    <w:p>
      <w:pPr>
        <w:pStyle w:val="Heading1"/>
      </w:pPr>
      <w:r>
        <w:t xml:space="preserve">Part 6: Integration of Resident Evidence — Data Collection Framework</w:t>
      </w:r>
    </w:p>
    <w:p>
      <w:pPr>
        <w:spacing w:after="140"/>
      </w:pPr>
      <w:r>
        <w:t xml:space="preserve">This section provides the methodology for overlaying resident-held evidence onto the structural record above. Each matrix identifies the gap in the formal record and the evidence type required to close it.</w:t>
      </w:r>
    </w:p>
    <w:p>
      <w:pPr>
        <w:pStyle w:val="Heading2"/>
      </w:pPr>
      <w:r>
        <w:t xml:space="preserve">Matrix 1: Psychosocial Impact and the Resolution Outcome Gap</w:t>
      </w:r>
    </w:p>
    <w:p>
      <w:pPr>
        <w:pStyle w:val="Heading3"/>
      </w:pPr>
      <w:r>
        <w:t xml:space="preserve">Structural Gap</w:t>
      </w:r>
    </w:p>
    <w:p>
      <w:pPr>
        <w:spacing w:after="140"/>
      </w:pPr>
      <w:r>
        <w:t xml:space="preserve">The passage of Resolution 2025.80 on a 9/0 vote established a community expectation of action within a defined timeline. The failure to execute that directive within the stated period generated a documentable cost for residents who modified their behaviour in response to the stated commitment.</w:t>
      </w:r>
    </w:p>
    <w:p>
      <w:pPr>
        <w:pStyle w:val="Heading3"/>
      </w:pPr>
      <w:r>
        <w:t xml:space="preserve">Evidence Collection Target</w:t>
      </w:r>
    </w:p>
    <w:p>
      <w:pPr>
        <w:pStyle w:val="ListParagraph"/>
        <w:numPr>
          <w:ilvl w:val="0"/>
          <w:numId w:val="2"/>
        </w:numPr>
        <w:spacing w:after="100"/>
      </w:pPr>
      <w:r>
        <w:t xml:space="preserve">Daily cleaning logs from the October–February waiting period.</w:t>
      </w:r>
    </w:p>
    <w:p>
      <w:pPr>
        <w:pStyle w:val="ListParagraph"/>
        <w:numPr>
          <w:ilvl w:val="0"/>
          <w:numId w:val="2"/>
        </w:numPr>
        <w:spacing w:after="100"/>
      </w:pPr>
      <w:r>
        <w:t xml:space="preserve">Property damage records: clothing, outdoor furniture, vehicles, and outdoor structures affected by contamination fallout.</w:t>
      </w:r>
    </w:p>
    <w:p>
      <w:pPr>
        <w:pStyle w:val="ListParagraph"/>
        <w:numPr>
          <w:ilvl w:val="0"/>
          <w:numId w:val="2"/>
        </w:numPr>
        <w:spacing w:after="100"/>
      </w:pPr>
      <w:r>
        <w:t xml:space="preserve">Records of restricted use of outdoor spaces and playground equipment during the waiting period.</w:t>
      </w:r>
    </w:p>
    <w:p>
      <w:pPr>
        <w:pStyle w:val="ListParagraph"/>
        <w:numPr>
          <w:ilvl w:val="0"/>
          <w:numId w:val="2"/>
        </w:numPr>
        <w:spacing w:after="100"/>
      </w:pPr>
      <w:r>
        <w:t xml:space="preserve">Resident accounts of the impact of discovering the October reporting milestone was not met, formatted to the notice-period timeline.</w:t>
      </w:r>
    </w:p>
    <w:p>
      <w:pPr>
        <w:spacing w:after="140"/>
      </w:pPr>
      <w:r>
        <w:t xml:space="preserve">This evidence establishes that the non-execution of the directive generated quantifiable community cost during the defined compliance window. It converts distress accounts into evidence of administrative delay operating to extend a hazard burden.</w:t>
      </w:r>
    </w:p>
    <w:p>
      <w:r>
        <w:t xml:space="preserve"/>
      </w:r>
    </w:p>
    <w:p>
      <w:pPr>
        <w:pStyle w:val="Heading2"/>
      </w:pPr>
      <w:r>
        <w:t xml:space="preserve">Matrix 2: Canopy Destruction and Property Damage</w:t>
      </w:r>
    </w:p>
    <w:p>
      <w:pPr>
        <w:pStyle w:val="Heading3"/>
      </w:pPr>
      <w:r>
        <w:t xml:space="preserve">Structural Gap</w:t>
      </w:r>
    </w:p>
    <w:p>
      <w:pPr>
        <w:spacing w:after="140"/>
      </w:pPr>
      <w:r>
        <w:t xml:space="preserve">The council’s stated position that no vegetation management was permissible left private property owners without any mechanism for relief from encroaching camp boundaries. Level 2 buffer actions were available and were not executed.</w:t>
      </w:r>
    </w:p>
    <w:p>
      <w:pPr>
        <w:pStyle w:val="Heading3"/>
      </w:pPr>
      <w:r>
        <w:t xml:space="preserve">Evidence Collection Target</w:t>
      </w:r>
    </w:p>
    <w:p>
      <w:pPr>
        <w:pStyle w:val="ListParagraph"/>
        <w:numPr>
          <w:ilvl w:val="0"/>
          <w:numId w:val="2"/>
        </w:numPr>
        <w:spacing w:after="100"/>
      </w:pPr>
      <w:r>
        <w:t xml:space="preserve">Count of mature canopy trees destroyed or permanently damaged per property.</w:t>
      </w:r>
    </w:p>
    <w:p>
      <w:pPr>
        <w:pStyle w:val="ListParagraph"/>
        <w:numPr>
          <w:ilvl w:val="0"/>
          <w:numId w:val="2"/>
        </w:numPr>
        <w:spacing w:after="100"/>
      </w:pPr>
      <w:r>
        <w:t xml:space="preserve">Financial estimates of private vegetation loss.</w:t>
      </w:r>
    </w:p>
    <w:p>
      <w:pPr>
        <w:pStyle w:val="ListParagraph"/>
        <w:numPr>
          <w:ilvl w:val="0"/>
          <w:numId w:val="2"/>
        </w:numPr>
        <w:spacing w:after="100"/>
      </w:pPr>
      <w:r>
        <w:t xml:space="preserve">Documented restriction of residential yard usage attributable to contamination.</w:t>
      </w:r>
    </w:p>
    <w:p>
      <w:pPr>
        <w:pStyle w:val="ListParagraph"/>
        <w:numPr>
          <w:ilvl w:val="0"/>
          <w:numId w:val="2"/>
        </w:numPr>
        <w:spacing w:after="100"/>
      </w:pPr>
      <w:r>
        <w:t xml:space="preserve">Costs of cleaning products and professional cleaning required to manage contamination fallout from overhanging colony.</w:t>
      </w:r>
    </w:p>
    <w:p>
      <w:pPr>
        <w:spacing w:after="140"/>
      </w:pPr>
      <w:r>
        <w:t xml:space="preserve">This evidence connects directly to the SafeWork NSW and Ombudsman filings. It demonstrates that the non-execution of pre-approved Level 2 buffer actions transferred identifiable financial and physical harm onto private landowners who had no alternative avenue for relief.</w:t>
      </w:r>
    </w:p>
    <w:p>
      <w:r>
        <w:t xml:space="preserve"/>
      </w:r>
    </w:p>
    <w:p>
      <w:pPr>
        <w:pStyle w:val="Heading2"/>
      </w:pPr>
      <w:r>
        <w:t xml:space="preserve">Matrix 3: The Notice Chronology</w:t>
      </w:r>
    </w:p>
    <w:p>
      <w:pPr>
        <w:pStyle w:val="Heading3"/>
      </w:pPr>
      <w:r>
        <w:t xml:space="preserve">Structural Gap</w:t>
      </w:r>
    </w:p>
    <w:p>
      <w:pPr>
        <w:spacing w:after="140"/>
      </w:pPr>
      <w:r>
        <w:t xml:space="preserve">An attempt to characterise the colony’s presence as a sudden or unforeseeable event is precluded by the documented notice record. The notice ledger requires completeness to prevent selective characterisation of the timeline.</w:t>
      </w:r>
    </w:p>
    <w:p>
      <w:pPr>
        <w:pStyle w:val="Heading3"/>
      </w:pPr>
      <w:r>
        <w:t xml:space="preserve">Evidence Collection Target</w:t>
      </w:r>
    </w:p>
    <w:p>
      <w:pPr>
        <w:pStyle w:val="ListParagraph"/>
        <w:numPr>
          <w:ilvl w:val="0"/>
          <w:numId w:val="2"/>
        </w:numPr>
        <w:spacing w:after="100"/>
      </w:pPr>
      <w:r>
        <w:t xml:space="preserve">Every verbal complaint to council, with date and contact method.</w:t>
      </w:r>
    </w:p>
    <w:p>
      <w:pPr>
        <w:pStyle w:val="ListParagraph"/>
        <w:numPr>
          <w:ilvl w:val="0"/>
          <w:numId w:val="2"/>
        </w:numPr>
        <w:spacing w:after="100"/>
      </w:pPr>
      <w:r>
        <w:t xml:space="preserve">Every written complaint, email, and letter, with council reference numbers where available.</w:t>
      </w:r>
    </w:p>
    <w:p>
      <w:pPr>
        <w:pStyle w:val="ListParagraph"/>
        <w:numPr>
          <w:ilvl w:val="0"/>
          <w:numId w:val="2"/>
        </w:numPr>
        <w:spacing w:after="100"/>
      </w:pPr>
      <w:r>
        <w:t xml:space="preserve">Records of unreturned calls and unacknowledged correspondence.</w:t>
      </w:r>
    </w:p>
    <w:p>
      <w:pPr>
        <w:pStyle w:val="ListParagraph"/>
        <w:numPr>
          <w:ilvl w:val="0"/>
          <w:numId w:val="2"/>
        </w:numPr>
        <w:spacing w:after="100"/>
      </w:pPr>
      <w:r>
        <w:t xml:space="preserve">Dates and outcomes of any direct public confrontations or community meetings prior to May 2025.</w:t>
      </w:r>
    </w:p>
    <w:p>
      <w:pPr>
        <w:spacing w:after="140"/>
      </w:pPr>
      <w:r>
        <w:t xml:space="preserve">This chronology locks the council into a state of prior and continuous knowledge across the entire period. It removes any viable reliance on notice absence as a defence in regulatory proceedings.</w:t>
      </w:r>
    </w:p>
    <w:p>
      <w:r>
        <w:t xml:space="preserve"/>
      </w:r>
    </w:p>
    <w:p>
      <w:pPr>
        <w:pStyle w:val="Heading1"/>
      </w:pPr>
      <w:r>
        <w:t xml:space="preserve">Part 7: Reference URLs — Verification Directories</w:t>
      </w:r>
    </w:p>
    <w:p>
      <w:pPr>
        <w:spacing w:after="140"/>
      </w:pPr>
      <w:r>
        <w:t xml:space="preserve">The following URLs provide direct access to Kempsey Shire Council’s published documentation relevant to this matter. These links are for use in external submissions to verify council-held positions and published plans.</w:t>
      </w:r>
    </w:p>
    <w:p>
      <w:r>
        <w:t xml:space="preserve"/>
      </w:r>
    </w:p>
    <w:p>
      <w:pPr>
        <w:spacing w:after="140"/>
      </w:pPr>
      <w:r>
        <w:rPr>
          <w:b/>
          <w:bCs/>
        </w:rPr>
        <w:t xml:space="preserve">Council flying-fox public position: </w:t>
      </w:r>
      <w:r>
        <w:t xml:space="preserve">https://www.kempsey.nsw.gov.au/Your-Valley/Your-environment/Wildlife/Flying-foxes</w:t>
      </w:r>
    </w:p>
    <w:p>
      <w:pPr>
        <w:spacing w:after="140"/>
      </w:pPr>
      <w:r>
        <w:rPr>
          <w:b/>
          <w:bCs/>
        </w:rPr>
        <w:t xml:space="preserve">Rudder Park Flying-fox Camp Management Plan: </w:t>
      </w:r>
      <w:r>
        <w:t xml:space="preserve">https://www.kempsey.nsw.gov.au/Your-Valley/Your-environment/Wildlife/Flying-foxes/Rudder-Park-Flying-fox-Camp-Management-Plan</w:t>
      </w:r>
    </w:p>
    <w:p>
      <w:pPr>
        <w:spacing w:after="140"/>
      </w:pPr>
      <w:r>
        <w:rPr>
          <w:b/>
          <w:bCs/>
        </w:rPr>
        <w:t xml:space="preserve">Disclosure of Interests Register (statutory index): </w:t>
      </w:r>
      <w:r>
        <w:t xml:space="preserve">https://www.kempsey.nsw.gov.au/Your-Council/About-Council/Corporate-management/Disclosure-of-Interests-Register</w:t>
      </w:r>
    </w:p>
    <w:p>
      <w:pPr>
        <w:spacing w:after="140"/>
      </w:pPr>
      <w:r>
        <w:rPr>
          <w:b/>
          <w:bCs/>
        </w:rPr>
        <w:t xml:space="preserve">Councillor Certified Disclosure Repository: </w:t>
      </w:r>
      <w:r>
        <w:t xml:space="preserve">https://www.kempsey.nsw.gov.au/Your-Council/About-Council/Corporate-management/Disclosure-of-Interests</w:t>
      </w:r>
    </w:p>
    <w:p>
      <w:pPr>
        <w:spacing w:after="140"/>
      </w:pPr>
      <w:r>
        <w:rPr>
          <w:b/>
          <w:bCs/>
        </w:rPr>
        <w:t xml:space="preserve">Proactive Information Access Log: </w:t>
      </w:r>
      <w:r>
        <w:t xml:space="preserve">https://www.kempsey.nsw.gov.au/Your-Council/Access-to-information</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5496"/>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2026-05-18T02:39:26.639Z</dcterms:created>
  <dcterms:modified xsi:type="dcterms:W3CDTF">2026-05-18T02:39:26.639Z</dcterms:modified>
</cp:coreProperties>
</file>

<file path=docProps/custom.xml><?xml version="1.0" encoding="utf-8"?>
<Properties xmlns="http://schemas.openxmlformats.org/officeDocument/2006/custom-properties" xmlns:vt="http://schemas.openxmlformats.org/officeDocument/2006/docPropsVTypes"/>
</file>