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rPr>
        <w:t>TASNİF DIŞI</w:t>
      </w:r>
    </w:p>
    <w:p>
      <w:pPr>
        <w:spacing w:before="160" w:after="0"/>
        <w:jc w:val="center"/>
      </w:pPr>
      <w:r>
        <w:rPr>
          <w:b/>
        </w:rPr>
        <w:t>SİİRT İL JANDARMA KOMUTANLIĞI</w:t>
      </w:r>
    </w:p>
    <w:p>
      <w:pPr>
        <w:spacing w:before="200" w:after="200"/>
        <w:jc w:val="center"/>
      </w:pPr>
      <w:r>
        <w:rPr>
          <w:b/>
        </w:rPr>
        <w:t>BİLGİ NOTU</w:t>
      </w:r>
    </w:p>
    <w:p>
      <w:pPr>
        <w:spacing w:before="80" w:after="80"/>
      </w:pPr>
      <w:r>
        <w:rPr>
          <w:b w:val="0"/>
        </w:rPr>
        <w:t>KONU : Sanal kumarla mücadele kapsamında geliştirilen “Kumar Kazandırmaz” eğitim simülasyonu, uygulanan bilinçlendirme eğitimi ve elde edilen sonuçlar hakkında bilgi notu.</w:t>
      </w:r>
    </w:p>
    <w:p>
      <w:pPr>
        <w:spacing w:before="0" w:after="200"/>
      </w:pPr>
      <w:r>
        <w:rPr>
          <w:b w:val="0"/>
        </w:rPr>
        <w:t>TARİH : 24 Temmuz 2026</w:t>
      </w:r>
    </w:p>
    <w:p>
      <w:pPr>
        <w:spacing w:before="120" w:after="40"/>
      </w:pPr>
      <w:r>
        <w:rPr>
          <w:b/>
        </w:rPr>
        <w:t>1. BAŞLANGIÇ:</w:t>
      </w:r>
    </w:p>
    <w:p>
      <w:pPr>
        <w:spacing w:before="0" w:after="120"/>
        <w:ind w:left="425"/>
      </w:pPr>
      <w:r>
        <w:rPr>
          <w:b w:val="0"/>
        </w:rPr>
        <w:t>Sanal kumar ve yasa dışı bahsin; borçlanma, aile içi problemler ve psikolojik sorunlara yol açan, özellikle genç personeli hedef alan bir tehdit olduğu değerlendirilmiş; klasik anlatım yöntemlerinin tek başına yeterli olmadığı görülmüştür. Bu kapsamda, sanal kumar sitelerinin işleyişini ve oyuncular üzerinde uyguladığı manipülasyon yöntemlerini uygulamalı olarak gösterecek bir eğitim simülasyonunun geliştirilmesine karar verilmiştir.</w:t>
      </w:r>
    </w:p>
    <w:p>
      <w:pPr>
        <w:spacing w:before="120" w:after="40"/>
      </w:pPr>
      <w:r>
        <w:rPr>
          <w:b/>
        </w:rPr>
        <w:t>2. YAPILAN ÇALIŞMALAR:</w:t>
      </w:r>
    </w:p>
    <w:p>
      <w:pPr>
        <w:spacing w:before="0" w:after="80"/>
        <w:ind w:left="425"/>
      </w:pPr>
      <w:r>
        <w:rPr>
          <w:b w:val="0"/>
        </w:rPr>
        <w:t>a. Gerçek kumar sitelerinin arayüz ve işleyişini birebir taklit eden, ancak gerçek para, bahis veya ödeme altyapısı içermeyen web tabanlı “Kumar Kazandırmaz” simülasyonu komutanlığımız imkânlarıyla geliştirilmiştir.</w:t>
      </w:r>
    </w:p>
    <w:p>
      <w:pPr>
        <w:spacing w:before="0" w:after="80"/>
        <w:ind w:left="425"/>
      </w:pPr>
      <w:r>
        <w:rPr>
          <w:b w:val="0"/>
        </w:rPr>
        <w:t>b. Bir kurbanın yaşadığı süreci; oyuna teşvik, ısındırma, kontrol yanılsaması, kayıpları telafi çabası, yeniden ısındırma, yüksek bahse yönlendirme, borçlanma ve tükeniş olmak üzere sekiz aşamada yaşatan senaryolu oyun modülü hazırlanmıştır. Her aşamada uygulanan psikolojik manipülasyon, ekrandaki anlatıcı bölümü ile eş zamanlı olarak açıklanmaktadır.</w:t>
      </w:r>
    </w:p>
    <w:p>
      <w:pPr>
        <w:spacing w:before="0" w:after="80"/>
        <w:ind w:left="425"/>
      </w:pPr>
      <w:r>
        <w:rPr>
          <w:b w:val="0"/>
        </w:rPr>
        <w:t>c. Kumar sitelerinin arka planda kullandığı yöntemlerin (ödeme eğilimi, kazandırma/kaybettirme bantları, bonus ve çarpan kurguları) eğitici tarafından canlı olarak gösterilebildiği yönetici (manipülasyon) paneli uygulamaya eklenmiştir.</w:t>
      </w:r>
    </w:p>
    <w:p>
      <w:pPr>
        <w:spacing w:before="0" w:after="120"/>
        <w:ind w:left="425"/>
      </w:pPr>
      <w:r>
        <w:rPr>
          <w:b w:val="0"/>
        </w:rPr>
        <w:t>d. Eğitimde kullanılmak üzere uygulama ile bütünleşik sunum hazırlanmış; sunum ve simülasyonun aynı ekranda eş zamanlı gösterilmesine imkân sağlanmıştır. Ayrıca internet erişimi olmayan ortamlar için kurulum gerektirmeyen taşınabilir sürüm oluşturulmuştur.</w:t>
      </w:r>
    </w:p>
    <w:p>
      <w:pPr>
        <w:spacing w:before="120" w:after="40"/>
      </w:pPr>
      <w:r>
        <w:rPr>
          <w:b/>
        </w:rPr>
        <w:t>3. UYGULANAN EĞİTİM VE TEST SONUÇLARI:</w:t>
      </w:r>
    </w:p>
    <w:p>
      <w:pPr>
        <w:spacing w:before="0" w:after="80"/>
        <w:ind w:left="425"/>
      </w:pPr>
      <w:r>
        <w:rPr>
          <w:b w:val="0"/>
        </w:rPr>
        <w:t>a. Hazırlanan eğitim, simülasyon destekli olarak JÖH personeline verilmiş; eğitim sonunda uygulanan son test ile etkinlik ölçülmüştür. 111 personelin formu değerlendirilmiştir.</w:t>
      </w:r>
    </w:p>
    <w:p>
      <w:pPr>
        <w:spacing w:before="0" w:after="80"/>
        <w:ind w:left="425"/>
      </w:pPr>
      <w:r>
        <w:rPr>
          <w:b w:val="0"/>
        </w:rPr>
        <w:t>b. 1–10 arası farkındalık ölçeğinde ortalama 9,33; ortanca değer 10 olarak ölçülmüştür. Katılımcıların %74,8'i tam puan vermiş, yaklaşık %85'i 9 veya 10 puan aralığında yer almış, hiçbir form kritik eşiğin altına düşmemiştir.</w:t>
      </w:r>
    </w:p>
    <w:p>
      <w:pPr>
        <w:spacing w:before="0" w:after="80"/>
        <w:ind w:left="425"/>
      </w:pPr>
      <w:r>
        <w:rPr>
          <w:b w:val="0"/>
        </w:rPr>
        <w:t>c. Katılımcıların %96'sı “sistemden para kazanılamaz” yargısını benimsemiştir. Eğitimin temel mesajı olan “sanal kumardan para kazanılamaz; sistem kaybettirmeye ayarlıdır” yargısının katılımcıların tamamına yakınına yerleştiği görülmüştür.</w:t>
      </w:r>
    </w:p>
    <w:p>
      <w:pPr>
        <w:spacing w:before="0" w:after="120"/>
        <w:ind w:left="425"/>
      </w:pPr>
      <w:r>
        <w:rPr>
          <w:b w:val="0"/>
        </w:rPr>
        <w:t>d. Üç katılımcıda “başlangıçta kazanılabilir” yönünde kısmi risk algısının sürdüğü tespit edilmiş; bu personelin hedefli hatırlatma/takip görüşmesi ile takip edilmesi planlanmıştır.</w:t>
      </w:r>
    </w:p>
    <w:p>
      <w:pPr>
        <w:spacing w:before="120" w:after="40"/>
      </w:pPr>
      <w:r>
        <w:rPr>
          <w:b/>
        </w:rPr>
        <w:t>4. MEVCUT DURUM:</w:t>
      </w:r>
    </w:p>
    <w:p>
      <w:pPr>
        <w:spacing w:before="0" w:after="120"/>
        <w:ind w:left="425"/>
      </w:pPr>
      <w:r>
        <w:rPr>
          <w:b w:val="0"/>
        </w:rPr>
        <w:t>Uygulama hâlihazırda internet üzerinden ve taşınabilir paket ile kullanıma hazır durumdadır. Eğitim içeriği ve sunum, alınan geri bildirimler doğrultusunda güncellenmekte olup uygulamanın diğer personel gruplarına yönelik eğitimlerde kullanılmasına devam edilmektedir.</w:t>
      </w:r>
    </w:p>
    <w:p>
      <w:pPr>
        <w:spacing w:before="120" w:after="40"/>
      </w:pPr>
      <w:r>
        <w:rPr>
          <w:b/>
        </w:rPr>
        <w:t>5. DEĞERLENDİRME VE SONUÇ:</w:t>
      </w:r>
    </w:p>
    <w:p>
      <w:pPr>
        <w:spacing w:before="0" w:after="240"/>
        <w:ind w:left="425"/>
      </w:pPr>
      <w:r>
        <w:rPr>
          <w:b w:val="0"/>
        </w:rPr>
        <w:t>Yapılan son test sonuçlarına göre faaliyetin maksadına ulaştığı değerlendirilmiştir. Eğitimin diğer birlik personeline yaygınlaştırılmasının ve katılımcıların ortak talebi olan yasal görünümlü bahis reklamlarına yönelik farkındalık çalışmalarının sürdürülmesinin uygun olacağı kıymetlendirilmektedir.</w:t>
      </w:r>
    </w:p>
    <w:p>
      <w:pPr>
        <w:spacing w:before="160" w:after="480"/>
        <w:jc w:val="right"/>
      </w:pPr>
      <w:r>
        <w:rPr>
          <w:b w:val="0"/>
        </w:rPr>
        <w:t>Arz ederim.</w:t>
      </w:r>
    </w:p>
    <w:p>
      <w:pPr>
        <w:spacing w:before="0" w:after="0"/>
        <w:jc w:val="right"/>
      </w:pPr>
      <w:r>
        <w:rPr>
          <w:b w:val="0"/>
        </w:rPr>
        <w:t>İMZA</w:t>
      </w:r>
    </w:p>
    <w:p>
      <w:pPr>
        <w:spacing w:before="0" w:after="0"/>
        <w:jc w:val="right"/>
      </w:pPr>
      <w:r>
        <w:rPr>
          <w:b w:val="0"/>
        </w:rPr>
        <w:t>Adı SOYADI</w:t>
      </w:r>
    </w:p>
    <w:p>
      <w:pPr>
        <w:spacing w:before="0" w:after="320"/>
        <w:jc w:val="right"/>
      </w:pPr>
      <w:r>
        <w:rPr>
          <w:b w:val="0"/>
        </w:rPr>
        <w:t>Rütbesi / Görevi</w:t>
      </w:r>
    </w:p>
    <w:p>
      <w:pPr>
        <w:spacing w:before="200" w:after="0"/>
        <w:jc w:val="center"/>
      </w:pPr>
      <w:r>
        <w:rPr>
          <w:b/>
        </w:rPr>
        <w:t>TASNİF DIŞI</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