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48ED" w:rsidRPr="009148ED" w:rsidRDefault="009148ED" w:rsidP="009148ED">
      <w:pPr>
        <w:spacing w:after="0" w:line="240" w:lineRule="auto"/>
        <w:ind w:firstLine="567"/>
        <w:jc w:val="center"/>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b/>
          <w:bCs/>
          <w:color w:val="000000"/>
          <w:sz w:val="24"/>
          <w:szCs w:val="24"/>
          <w:lang w:eastAsia="tr-TR"/>
        </w:rPr>
        <w:t>SES VE GAZ FİŞEĞİ ATABİLEN SİLAHLAR</w:t>
      </w:r>
    </w:p>
    <w:p w:rsidR="009148ED" w:rsidRPr="009148ED" w:rsidRDefault="009148ED" w:rsidP="009148ED">
      <w:pPr>
        <w:spacing w:after="0" w:line="240" w:lineRule="auto"/>
        <w:ind w:firstLine="567"/>
        <w:jc w:val="center"/>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b/>
          <w:bCs/>
          <w:color w:val="000000"/>
          <w:sz w:val="24"/>
          <w:szCs w:val="24"/>
          <w:lang w:eastAsia="tr-TR"/>
        </w:rPr>
        <w:t>HAKKINDA YÖNETMELİK</w:t>
      </w:r>
    </w:p>
    <w:p w:rsidR="009148ED" w:rsidRPr="009148ED" w:rsidRDefault="009148ED" w:rsidP="009148ED">
      <w:pPr>
        <w:spacing w:after="0" w:line="240" w:lineRule="auto"/>
        <w:ind w:firstLine="567"/>
        <w:jc w:val="center"/>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b/>
          <w:bCs/>
          <w:color w:val="000000"/>
          <w:sz w:val="24"/>
          <w:szCs w:val="24"/>
          <w:lang w:eastAsia="tr-TR"/>
        </w:rPr>
        <w:t> </w:t>
      </w:r>
    </w:p>
    <w:p w:rsidR="009148ED" w:rsidRPr="009148ED" w:rsidRDefault="009148ED" w:rsidP="009148ED">
      <w:pPr>
        <w:spacing w:after="0" w:line="240" w:lineRule="auto"/>
        <w:ind w:firstLine="567"/>
        <w:jc w:val="center"/>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b/>
          <w:bCs/>
          <w:color w:val="000000"/>
          <w:sz w:val="24"/>
          <w:szCs w:val="24"/>
          <w:lang w:eastAsia="tr-TR"/>
        </w:rPr>
        <w:t>BİRİNCİ BÖLÜM</w:t>
      </w:r>
    </w:p>
    <w:p w:rsidR="009148ED" w:rsidRPr="009148ED" w:rsidRDefault="009148ED" w:rsidP="009148ED">
      <w:pPr>
        <w:spacing w:after="0" w:line="240" w:lineRule="auto"/>
        <w:ind w:firstLine="567"/>
        <w:jc w:val="center"/>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b/>
          <w:bCs/>
          <w:color w:val="000000"/>
          <w:sz w:val="24"/>
          <w:szCs w:val="24"/>
          <w:lang w:eastAsia="tr-TR"/>
        </w:rPr>
        <w:t>Amaç, Kapsam, Dayanak ve Tanımlar</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b/>
          <w:bCs/>
          <w:color w:val="000000"/>
          <w:sz w:val="24"/>
          <w:szCs w:val="24"/>
          <w:lang w:eastAsia="tr-TR"/>
        </w:rPr>
        <w:t>Tanımlar</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b/>
          <w:bCs/>
          <w:color w:val="000000"/>
          <w:sz w:val="24"/>
          <w:szCs w:val="24"/>
          <w:lang w:eastAsia="tr-TR"/>
        </w:rPr>
        <w:t>MADDE 4 – </w:t>
      </w:r>
      <w:r w:rsidRPr="009148ED">
        <w:rPr>
          <w:rFonts w:ascii="Times New Roman" w:eastAsia="Times New Roman" w:hAnsi="Times New Roman" w:cs="Times New Roman"/>
          <w:color w:val="000000"/>
          <w:sz w:val="24"/>
          <w:szCs w:val="24"/>
          <w:lang w:eastAsia="tr-TR"/>
        </w:rPr>
        <w:t>(1) Bu Yönetmelikte yer alan;</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a) Aksam: Ses ve gaz fişeği atabilen silahın gövde (çerçeve), namlu, kapak (sürgü), toplu tabanca fişek haznesi, ateşleme tertibatı veya bunların yerine konabilen unsurlarını,</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b) Ateşli silah: Antika ateşli silahlar veya taklitleri hariç, bir patlayıcı madde etkisiyle fişek, kurşun veya mermi atan, atacak şekilde tasarlanan veya kolayca atacak hale getirilebilen namlulu herhangi bir taşınabilir silahı,</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c) Bakanlık: Sanayi ve Teknoloji Bakanlığını,</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ç) Bilgi sistemi: Bakanlık tarafından oluşturulan ve yetkili personel tarafından e-devlet ya da kimlik doğrulama ile işlem yapılan yazılım altyapısını,</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d) Dağıtıcı: Ürünün tedarik zincirinde yer alan ve faaliyetleri ürünün güvenliğine ilişkin hususları etkilemeyen, mermi veya av malzemesi ya da yivsiz tüfek satışı yapmak için ruhsatlandırılmış, ses ve gaz fişeği atabilen silah da satabilen gerçek veya tüzel kişiyi,</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e) Genel satış amaçlı üretim: Hem yurt içi piyasaya hem de yurt dışı piyasaya satılmak üzere üretilen ürünü,</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f) Gümrük tarife istatistik pozisyonu (GTİP): Türk Gümrük Tarife Cetvelinde on iki rakamdan oluşan pozisyonu,</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g) Hariçte işleme rejimi: Serbest dolaşımdaki eşyanın hariçte işleme faaliyetlerine tabi tutulmak üzere Türkiye Gümrük Bölgesinden geçici olarak ihracı ve bu faaliyetler sonucunda elde edilen ürünlerin ithal vergilerinden tam veya kısmi muafiyet suretiyle yeniden serbest dolaşıma girişine ilişkin hükümlerin uygulandığı rejimi,</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ğ) İhracat amaçlı üretim: Sadece yurt dışı piyasaya satılmak üzere üretilen ürünü,</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h) Kanun: </w:t>
      </w:r>
      <w:proofErr w:type="gramStart"/>
      <w:r w:rsidRPr="009148ED">
        <w:rPr>
          <w:rFonts w:ascii="Times New Roman" w:eastAsia="Times New Roman" w:hAnsi="Times New Roman" w:cs="Times New Roman"/>
          <w:color w:val="000000"/>
          <w:sz w:val="24"/>
          <w:szCs w:val="24"/>
          <w:lang w:eastAsia="tr-TR"/>
        </w:rPr>
        <w:t>23/1/2008</w:t>
      </w:r>
      <w:proofErr w:type="gramEnd"/>
      <w:r w:rsidRPr="009148ED">
        <w:rPr>
          <w:rFonts w:ascii="Times New Roman" w:eastAsia="Times New Roman" w:hAnsi="Times New Roman" w:cs="Times New Roman"/>
          <w:color w:val="000000"/>
          <w:sz w:val="24"/>
          <w:szCs w:val="24"/>
          <w:lang w:eastAsia="tr-TR"/>
        </w:rPr>
        <w:t> tarihli ve 5729 sayılı Ses ve Gaz Fişeği Atabilen Silahlar Hakkında Kanunu,</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ı) Kayıtlı elektronik posta (KEP): Elektronik iletilerin, gönderimi ve teslimatı da dâhil olmak üzere kullanımına ilişkin olarak hukukî delil sağlayan, elektronik postanın nitelikli şeklini,</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i) Kırma tabanca: Fişek beslemesi, her atış için namlunun gövde/çerçeve/</w:t>
      </w:r>
      <w:proofErr w:type="spellStart"/>
      <w:r w:rsidRPr="009148ED">
        <w:rPr>
          <w:rFonts w:ascii="Times New Roman" w:eastAsia="Times New Roman" w:hAnsi="Times New Roman" w:cs="Times New Roman"/>
          <w:color w:val="000000"/>
          <w:sz w:val="24"/>
          <w:szCs w:val="24"/>
          <w:lang w:eastAsia="tr-TR"/>
        </w:rPr>
        <w:t>kubuzdaki</w:t>
      </w:r>
      <w:proofErr w:type="spellEnd"/>
      <w:r w:rsidRPr="009148ED">
        <w:rPr>
          <w:rFonts w:ascii="Times New Roman" w:eastAsia="Times New Roman" w:hAnsi="Times New Roman" w:cs="Times New Roman"/>
          <w:color w:val="000000"/>
          <w:sz w:val="24"/>
          <w:szCs w:val="24"/>
          <w:lang w:eastAsia="tr-TR"/>
        </w:rPr>
        <w:t> mafsal etrafında kırılarak elle doldurma şeklinde yapılan silahları,</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j) Kolluk birimi: İllerde il emniyet müdürlükleri ve il jandarma komutanlıklarını, ilçelerde ilçe emniyet müdürlüğü/amirliği ve ilçe jandarma komutanlıklarını,</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k) Kuruluş izni: Bu Yönetmelik kapsamında üretim yapacak işletmelerin Bakanlıktan almaları gereken izni,</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l) Merkezi kayıt sistemi: Bu Yönetmelik kapsamındaki ses ve gaz fişeği atabilen silahların üretim, satış, nakil ve bildirimine ilişkin bilgileri içeren ve İçişleri Bakanlığı bünyesinde kurulan veri tabanını,</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m) Namlu: Bu Yönetmelik kapsamında üretilen ses ve gaz fişeği atabilen silahlardan ateşleme sonucu oluşan gazın ve fişek ucunu kapatmak için kullanılan plastiğin parçacıklarının çıkışına izin veren veya tam kapalı şekilde tasarlanmış olan yivsiz-setsiz metal boruyu,</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n) Piyasa gözetimi ve denetimi: Yetkili kuruluşlar tarafından, ürünün piyasaya arzı veya dağıtımı aşamasında veya ürün piyasada iken ilgili teknik düzenlemeye uygun olarak üretilip üretilmediğinin, güvenli olup olmadığının denetlenmesi veya denetlettirilmesini,</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o) Piyasaya arz: Ürünün, tedarik veya kullanım amacıyla bedelli veya bedelsiz olarak piyasada yer alması için yapılan faaliyeti,</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lastRenderedPageBreak/>
        <w:t>ö) Prototip: Gerekli test ve incelemelere esas olmak üzere çalışma özelliklerini, performansını ve fabrikada üretilebilme koşullarını denemek için yapılan ses ve gaz fişeği atabilen numune silahı,</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p) Ses ve gaz fişeği atabilen silah: Bu Yönetmelik kapsamında özellikleri belirlenen ses ve gaz fişeği atabilen, </w:t>
      </w:r>
      <w:proofErr w:type="gramStart"/>
      <w:r w:rsidRPr="009148ED">
        <w:rPr>
          <w:rFonts w:ascii="Times New Roman" w:eastAsia="Times New Roman" w:hAnsi="Times New Roman" w:cs="Times New Roman"/>
          <w:color w:val="000000"/>
          <w:sz w:val="24"/>
          <w:szCs w:val="24"/>
          <w:lang w:eastAsia="tr-TR"/>
        </w:rPr>
        <w:t>10/7/1953</w:t>
      </w:r>
      <w:proofErr w:type="gramEnd"/>
      <w:r w:rsidRPr="009148ED">
        <w:rPr>
          <w:rFonts w:ascii="Times New Roman" w:eastAsia="Times New Roman" w:hAnsi="Times New Roman" w:cs="Times New Roman"/>
          <w:color w:val="000000"/>
          <w:sz w:val="24"/>
          <w:szCs w:val="24"/>
          <w:lang w:eastAsia="tr-TR"/>
        </w:rPr>
        <w:t> tarihli ve 6136 sayılı Ateşli Silahlar ve Bıçaklar ile Diğer Aletler Hakkında Kanun hükümlerine tabi silah vasfında olmayan; mermi çekirdeği, saçma veya katı cisim ihtiva eden özel şekil ve nitelikteki fişekleri ise atamayacak şekilde imal edilmiş, kurusıkı silah olarak da tabir edilen silahları,</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r) Şarjörlü tabanca: Fişek beslemesini, çıkabilecek şekilde üzerine monte edilmiş kutu şeklindeki hazneden alan tabancanın şeklini,</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s) Tam otomatik silah: Çalışma prensibi, ilk dolduruşun atıcı tarafından yapıldığı ve tetik çekili tutulduğunda sürekli atış yapabilen veya çekilip bırakıldığı durumlarda peş peşe birden fazla atış yapabilen vasıfta olan silahların sınıfını,</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ş) Tek tek atım yapan silah: Çalışma prensibi, her atım için namluya fişek </w:t>
      </w:r>
      <w:proofErr w:type="spellStart"/>
      <w:r w:rsidRPr="009148ED">
        <w:rPr>
          <w:rFonts w:ascii="Times New Roman" w:eastAsia="Times New Roman" w:hAnsi="Times New Roman" w:cs="Times New Roman"/>
          <w:color w:val="000000"/>
          <w:sz w:val="24"/>
          <w:szCs w:val="24"/>
          <w:lang w:eastAsia="tr-TR"/>
        </w:rPr>
        <w:t>dolumunun</w:t>
      </w:r>
      <w:proofErr w:type="spellEnd"/>
      <w:r w:rsidRPr="009148ED">
        <w:rPr>
          <w:rFonts w:ascii="Times New Roman" w:eastAsia="Times New Roman" w:hAnsi="Times New Roman" w:cs="Times New Roman"/>
          <w:color w:val="000000"/>
          <w:sz w:val="24"/>
          <w:szCs w:val="24"/>
          <w:lang w:eastAsia="tr-TR"/>
        </w:rPr>
        <w:t> atıcı tarafından yapılmasını gerektiren, tam ve yarı otomatik atış yeteneği olmayan silahların sınıfını,</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t) Teknik sorumlu: Bu Yönetmelik kapsamındaki ürünle ilgili teknik resimlerin yine bu Yönetmelikte belirtildiği şekilde hazırlanarak onaylanmasından, ürünlerin bu resme ve </w:t>
      </w:r>
      <w:proofErr w:type="spellStart"/>
      <w:r w:rsidRPr="009148ED">
        <w:rPr>
          <w:rFonts w:ascii="Times New Roman" w:eastAsia="Times New Roman" w:hAnsi="Times New Roman" w:cs="Times New Roman"/>
          <w:color w:val="000000"/>
          <w:sz w:val="24"/>
          <w:szCs w:val="24"/>
          <w:lang w:eastAsia="tr-TR"/>
        </w:rPr>
        <w:t>kriminal</w:t>
      </w:r>
      <w:proofErr w:type="spellEnd"/>
      <w:r w:rsidRPr="009148ED">
        <w:rPr>
          <w:rFonts w:ascii="Times New Roman" w:eastAsia="Times New Roman" w:hAnsi="Times New Roman" w:cs="Times New Roman"/>
          <w:color w:val="000000"/>
          <w:sz w:val="24"/>
          <w:szCs w:val="24"/>
          <w:lang w:eastAsia="tr-TR"/>
        </w:rPr>
        <w:t> inceleme için beyan edilen ses ve gaz fişeği atabilen silaha uygun şekilde üretilmesinden ve üretim faaliyetlerinin teknik esaslara uygun yürütülmesinden sorumlu mühendisi,</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u) Toplu tabanca: Fişek beslemesini, bir eksen etrafında dönebilen ve aynı zamanda şarjör görevi yapan silindir biçimindeki hazneden alan tabancanın şeklini,</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ü) Üretici:</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1) Bir ürünü üreten, imal eden, ıslah eden veya ürüne adını, ticarî markasını veya ayırt edici işaretini koymak suretiyle kendini üretici olarak tanıtan gerçek veya tüzel kişiyi,</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2) Üreticinin Türkiye dışında olması halinde, üretici tarafından yetkilendirilen temsilciyi ve/veya ithalatçıyı,</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3) Ürünün tedarik zincirinde yer alan ve faaliyetleri ürünün güvenliğine ilişkin hususları etkileyen gerçek veya tüzel kişiyi,</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v) Üretim izni: Bu Yönetmelik kapsamında üretim yapacak işletmeler için sırasıyla, kuruluş ve </w:t>
      </w:r>
      <w:proofErr w:type="gramStart"/>
      <w:r w:rsidRPr="009148ED">
        <w:rPr>
          <w:rFonts w:ascii="Times New Roman" w:eastAsia="Times New Roman" w:hAnsi="Times New Roman" w:cs="Times New Roman"/>
          <w:color w:val="000000"/>
          <w:sz w:val="24"/>
          <w:szCs w:val="24"/>
          <w:lang w:eastAsia="tr-TR"/>
        </w:rPr>
        <w:t>prototip</w:t>
      </w:r>
      <w:proofErr w:type="gramEnd"/>
      <w:r w:rsidRPr="009148ED">
        <w:rPr>
          <w:rFonts w:ascii="Times New Roman" w:eastAsia="Times New Roman" w:hAnsi="Times New Roman" w:cs="Times New Roman"/>
          <w:color w:val="000000"/>
          <w:sz w:val="24"/>
          <w:szCs w:val="24"/>
          <w:lang w:eastAsia="tr-TR"/>
        </w:rPr>
        <w:t> üretim izninden sonra verilen izni,</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y) Yarı otomatik silah: Çalışma prensibi, ilk dolduruşu atıcı tarafından yapılan ve her atışı müteakip bir sonraki fişeği otomatik olarak atışa hazır hâle getirebilen ve her tetik çekiminde sadece bir tek atış yapabilen vasıfta olan silahların sınıfını,</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z) Yetki belgesi: Kolluk birimlerine e-devlet üzerinden yapılan müracaata istinaden, satış işleminin takip ve kontrolünü sağlayan ön onay mahiyetindeki belgeyi veya kodu,</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proofErr w:type="spellStart"/>
      <w:r w:rsidRPr="009148ED">
        <w:rPr>
          <w:rFonts w:ascii="Times New Roman" w:eastAsia="Times New Roman" w:hAnsi="Times New Roman" w:cs="Times New Roman"/>
          <w:color w:val="000000"/>
          <w:sz w:val="24"/>
          <w:szCs w:val="24"/>
          <w:lang w:eastAsia="tr-TR"/>
        </w:rPr>
        <w:t>aa</w:t>
      </w:r>
      <w:proofErr w:type="spellEnd"/>
      <w:r w:rsidRPr="009148ED">
        <w:rPr>
          <w:rFonts w:ascii="Times New Roman" w:eastAsia="Times New Roman" w:hAnsi="Times New Roman" w:cs="Times New Roman"/>
          <w:color w:val="000000"/>
          <w:sz w:val="24"/>
          <w:szCs w:val="24"/>
          <w:lang w:eastAsia="tr-TR"/>
        </w:rPr>
        <w:t>) Yetkili personel: Bakanlığa ve/veya İçişleri Bakanlığına müracaata yetkili, MERSİS veya ESBİS üzerinde firma sahibi, ortağı veya yetkilendirilmiş kişi olarak tanımlanmış personeli,</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proofErr w:type="gramStart"/>
      <w:r w:rsidRPr="009148ED">
        <w:rPr>
          <w:rFonts w:ascii="Times New Roman" w:eastAsia="Times New Roman" w:hAnsi="Times New Roman" w:cs="Times New Roman"/>
          <w:color w:val="000000"/>
          <w:sz w:val="24"/>
          <w:szCs w:val="24"/>
          <w:lang w:eastAsia="tr-TR"/>
        </w:rPr>
        <w:t>ifade</w:t>
      </w:r>
      <w:proofErr w:type="gramEnd"/>
      <w:r w:rsidRPr="009148ED">
        <w:rPr>
          <w:rFonts w:ascii="Times New Roman" w:eastAsia="Times New Roman" w:hAnsi="Times New Roman" w:cs="Times New Roman"/>
          <w:color w:val="000000"/>
          <w:sz w:val="24"/>
          <w:szCs w:val="24"/>
          <w:lang w:eastAsia="tr-TR"/>
        </w:rPr>
        <w:t> eder.</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(2) Ses ve gaz fişeği atabilen silahın genel özelliklerini açıklayan ifadelerden;</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a) Boyut: Ses ve gaz fişeği atabilen silahın ölçülendirilmesinde ele alınan üç doğrultudan uzunluk, genişlik ve derinliği,</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proofErr w:type="gramStart"/>
      <w:r w:rsidRPr="009148ED">
        <w:rPr>
          <w:rFonts w:ascii="Times New Roman" w:eastAsia="Times New Roman" w:hAnsi="Times New Roman" w:cs="Times New Roman"/>
          <w:color w:val="000000"/>
          <w:sz w:val="24"/>
          <w:szCs w:val="24"/>
          <w:lang w:eastAsia="tr-TR"/>
        </w:rPr>
        <w:t>b) Marka: Bir teşebbüsün mallarının veya hizmetlerinin diğer teşebbüslerin mallarından veya hizmetlerinden ayırt edilmesini sağlaması ve marka sahibine sağlanan korumanın konusunun açık ve kesin olarak anlaşılmasını sağlayabilecek şekilde sicilde gösterilebilir olması şartıyla kişi adları dâhil sözcükler, şekiller, renkler, harfler, sayılar, sesler ve malların veya ambalajlarının biçimi olmak üzere her tür işaretten oluşabilen ifadeyi,</w:t>
      </w:r>
      <w:proofErr w:type="gramEnd"/>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lastRenderedPageBreak/>
        <w:t>c) Model: Aynı markanın farklı biçimlerini ifade etmek, ses ve gaz fişeği atabilen silah çeşitliliğini artırmak üzere firma tarafından yapılan tanımlamayı,</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ç) Piyasaya arz durumu: Ses ve gaz fişeği atabilen silahın genel satış amaçlı veya ihracat amaçlı olarak planlanan piyasaya arzını,</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proofErr w:type="gramStart"/>
      <w:r w:rsidRPr="009148ED">
        <w:rPr>
          <w:rFonts w:ascii="Times New Roman" w:eastAsia="Times New Roman" w:hAnsi="Times New Roman" w:cs="Times New Roman"/>
          <w:color w:val="000000"/>
          <w:sz w:val="24"/>
          <w:szCs w:val="24"/>
          <w:lang w:eastAsia="tr-TR"/>
        </w:rPr>
        <w:t>ifade</w:t>
      </w:r>
      <w:proofErr w:type="gramEnd"/>
      <w:r w:rsidRPr="009148ED">
        <w:rPr>
          <w:rFonts w:ascii="Times New Roman" w:eastAsia="Times New Roman" w:hAnsi="Times New Roman" w:cs="Times New Roman"/>
          <w:color w:val="000000"/>
          <w:sz w:val="24"/>
          <w:szCs w:val="24"/>
          <w:lang w:eastAsia="tr-TR"/>
        </w:rPr>
        <w:t> eder.</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(3) Ses ve gaz fişeği atabilen silahın teknik özelliklerini açıklayan ifadelerden;</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a) Çap/Kalibre: Bu Yönetmelik kapsamında bulunan ses ve gaz fişeği atabilen silahların fişek yatağının boyutlarına göre üretilmiş olan fişeklerin, genişlik ve uzunluğunun milimetre veya inç cinsinden ölçülendirilmesini,</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b) Sınıf: Ses ve gaz fişeği atabilen silahın çalışma prensibine göre yapılan sınıflandırmayı,</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c) Şekil: Ses ve gaz fişeği atabilen silahın fişek beslemesine göre yapılan sınıflandırmayı,</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ç) Tip: Ses ve gaz fişeği atabilen silahın namlu borusunun kapalı, eksen kaçıklığı, emniyet saclı, pimli, </w:t>
      </w:r>
      <w:proofErr w:type="spellStart"/>
      <w:r w:rsidRPr="009148ED">
        <w:rPr>
          <w:rFonts w:ascii="Times New Roman" w:eastAsia="Times New Roman" w:hAnsi="Times New Roman" w:cs="Times New Roman"/>
          <w:color w:val="000000"/>
          <w:sz w:val="24"/>
          <w:szCs w:val="24"/>
          <w:lang w:eastAsia="tr-TR"/>
        </w:rPr>
        <w:t>pimsiz</w:t>
      </w:r>
      <w:proofErr w:type="spellEnd"/>
      <w:r w:rsidRPr="009148ED">
        <w:rPr>
          <w:rFonts w:ascii="Times New Roman" w:eastAsia="Times New Roman" w:hAnsi="Times New Roman" w:cs="Times New Roman"/>
          <w:color w:val="000000"/>
          <w:sz w:val="24"/>
          <w:szCs w:val="24"/>
          <w:lang w:eastAsia="tr-TR"/>
        </w:rPr>
        <w:t>, düz ve benzeri şekillerde olabilen </w:t>
      </w:r>
      <w:proofErr w:type="gramStart"/>
      <w:r w:rsidRPr="009148ED">
        <w:rPr>
          <w:rFonts w:ascii="Times New Roman" w:eastAsia="Times New Roman" w:hAnsi="Times New Roman" w:cs="Times New Roman"/>
          <w:color w:val="000000"/>
          <w:sz w:val="24"/>
          <w:szCs w:val="24"/>
          <w:lang w:eastAsia="tr-TR"/>
        </w:rPr>
        <w:t>iç yapısını</w:t>
      </w:r>
      <w:proofErr w:type="gramEnd"/>
      <w:r w:rsidRPr="009148ED">
        <w:rPr>
          <w:rFonts w:ascii="Times New Roman" w:eastAsia="Times New Roman" w:hAnsi="Times New Roman" w:cs="Times New Roman"/>
          <w:color w:val="000000"/>
          <w:sz w:val="24"/>
          <w:szCs w:val="24"/>
          <w:lang w:eastAsia="tr-TR"/>
        </w:rPr>
        <w:t>,</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proofErr w:type="gramStart"/>
      <w:r w:rsidRPr="009148ED">
        <w:rPr>
          <w:rFonts w:ascii="Times New Roman" w:eastAsia="Times New Roman" w:hAnsi="Times New Roman" w:cs="Times New Roman"/>
          <w:color w:val="000000"/>
          <w:sz w:val="24"/>
          <w:szCs w:val="24"/>
          <w:lang w:eastAsia="tr-TR"/>
        </w:rPr>
        <w:t>ifade</w:t>
      </w:r>
      <w:proofErr w:type="gramEnd"/>
      <w:r w:rsidRPr="009148ED">
        <w:rPr>
          <w:rFonts w:ascii="Times New Roman" w:eastAsia="Times New Roman" w:hAnsi="Times New Roman" w:cs="Times New Roman"/>
          <w:color w:val="000000"/>
          <w:sz w:val="24"/>
          <w:szCs w:val="24"/>
          <w:lang w:eastAsia="tr-TR"/>
        </w:rPr>
        <w:t> eder.</w:t>
      </w:r>
    </w:p>
    <w:p w:rsidR="009148ED" w:rsidRPr="009148ED" w:rsidRDefault="009148ED" w:rsidP="009148ED">
      <w:pPr>
        <w:spacing w:after="0" w:line="240" w:lineRule="auto"/>
        <w:ind w:firstLine="567"/>
        <w:jc w:val="center"/>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b/>
          <w:bCs/>
          <w:color w:val="000000"/>
          <w:sz w:val="24"/>
          <w:szCs w:val="24"/>
          <w:lang w:eastAsia="tr-TR"/>
        </w:rPr>
        <w:t>ÜÇÜNCÜ BÖLÜM</w:t>
      </w:r>
    </w:p>
    <w:p w:rsidR="009148ED" w:rsidRPr="009148ED" w:rsidRDefault="009148ED" w:rsidP="009148ED">
      <w:pPr>
        <w:spacing w:after="0" w:line="240" w:lineRule="auto"/>
        <w:ind w:firstLine="567"/>
        <w:jc w:val="center"/>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b/>
          <w:bCs/>
          <w:color w:val="000000"/>
          <w:sz w:val="24"/>
          <w:szCs w:val="24"/>
          <w:lang w:eastAsia="tr-TR"/>
        </w:rPr>
        <w:t>Satış Esasları, Yetki Belgesi Alma, Satın Alma, Devir ve Nakil İşlemleri</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b/>
          <w:bCs/>
          <w:color w:val="000000"/>
          <w:sz w:val="24"/>
          <w:szCs w:val="24"/>
          <w:lang w:eastAsia="tr-TR"/>
        </w:rPr>
        <w:t>Satış esasları</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b/>
          <w:bCs/>
          <w:color w:val="000000"/>
          <w:sz w:val="24"/>
          <w:szCs w:val="24"/>
          <w:lang w:eastAsia="tr-TR"/>
        </w:rPr>
        <w:t>MADDE 13 – </w:t>
      </w:r>
      <w:r w:rsidRPr="009148ED">
        <w:rPr>
          <w:rFonts w:ascii="Times New Roman" w:eastAsia="Times New Roman" w:hAnsi="Times New Roman" w:cs="Times New Roman"/>
          <w:color w:val="000000"/>
          <w:sz w:val="24"/>
          <w:szCs w:val="24"/>
          <w:lang w:eastAsia="tr-TR"/>
        </w:rPr>
        <w:t>(1) Ses ve gaz fişeği atabilen silahların satışı, mermi veya av malzemesi ya da yivsiz tüfek satışı yapmak için ruhsatlandırılmış yerlerce yapılır.</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(2) Ses ve gaz fişeği atabilen silahları satan yerler, yurt içine ve yurt dışına sattıkları mamullerin cins, çap ve seri numaralarını, satın alan kişi veya kuruluşun ad ve açık adreslerini belirleyecek tarzda bilgisayar ortamında düzenleyecekleri listeleri bir ay içerisinde kolluk birimlerine bildirmek zorundadır. Merkezi kayıt sisteminin devreye alınmasını müteakip bildirimler depo girişinde ve çıkışında anlık olarak yapılır.</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(3) Genel amaçlı üretimlerden yurt içine satılan ses ve gaz fişeği atabilen silahların ambalaj ve kutularına Ek-1'de yer alan yasal uyarı ile ses ve gaz fişeği atabilen silahın kullanım kılavuzunun konulması zorunludur.</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b/>
          <w:bCs/>
          <w:color w:val="000000"/>
          <w:sz w:val="24"/>
          <w:szCs w:val="24"/>
          <w:lang w:eastAsia="tr-TR"/>
        </w:rPr>
        <w:t>Yetki belgesi alma işlemi</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b/>
          <w:bCs/>
          <w:color w:val="000000"/>
          <w:sz w:val="24"/>
          <w:szCs w:val="24"/>
          <w:lang w:eastAsia="tr-TR"/>
        </w:rPr>
        <w:t>MADDE 14 – </w:t>
      </w:r>
      <w:r w:rsidRPr="009148ED">
        <w:rPr>
          <w:rFonts w:ascii="Times New Roman" w:eastAsia="Times New Roman" w:hAnsi="Times New Roman" w:cs="Times New Roman"/>
          <w:color w:val="000000"/>
          <w:sz w:val="24"/>
          <w:szCs w:val="24"/>
          <w:lang w:eastAsia="tr-TR"/>
        </w:rPr>
        <w:t>(1) Dağıtıcı, ses ve gaz fişeği atabilen silah satın alacaklara Kanunun 3 üncü maddesinin birinci fıkrasında belirtilen şartları taşımaları şartıyla satış yapar. Merkezi kayıt sisteminin devreye alınmasını müteakip yetki belgesi başvurusu elektronik ortamda yapılır. Gerekli şartları taşımaları kaydıyla, ses ve gaz fişeği atabilen silah satın almak isteyenlere merkezi kayıt sistemi aracılığıyla yetki belgesi hakları verilir.</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(2) Yetki belgesinin geçerlilik süresi 6 aydır.</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(3) Alınan her yetki belgesi ile bir adet ses ve gaz fişeği atabilen silah alınabilir. Ancak ülkemizde ikamet eden yabancılara, turistlere, mültecilere, şartlı mülteci ve ikincil koruma statüsü sahipleri ile insani ikamet izni sahipleri ve geçici koruma sağlananlara ses ve gaz fişeği atabilen silah satılamaz.</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(4) Dağıtıcının, Kanunun 3 üncü maddesinde belirtilen şartları sağlamayan ve merkezi kayıt sisteminin devreye alınmasını müteakip yetki belgesi olmayan kişilere satış yapması durumunda İçişleri Bakanlığınca verilen bayilik belgesi 5 yıl süre ile iptal edilir.</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b/>
          <w:bCs/>
          <w:color w:val="000000"/>
          <w:sz w:val="24"/>
          <w:szCs w:val="24"/>
          <w:lang w:eastAsia="tr-TR"/>
        </w:rPr>
        <w:t>Satın alma işlemi</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b/>
          <w:bCs/>
          <w:color w:val="000000"/>
          <w:sz w:val="24"/>
          <w:szCs w:val="24"/>
          <w:lang w:eastAsia="tr-TR"/>
        </w:rPr>
        <w:t>MADDE 15 – </w:t>
      </w:r>
      <w:r w:rsidRPr="009148ED">
        <w:rPr>
          <w:rFonts w:ascii="Times New Roman" w:eastAsia="Times New Roman" w:hAnsi="Times New Roman" w:cs="Times New Roman"/>
          <w:color w:val="000000"/>
          <w:sz w:val="24"/>
          <w:szCs w:val="24"/>
          <w:lang w:eastAsia="tr-TR"/>
        </w:rPr>
        <w:t>(1) Ses ve gaz fişeği atabilen silah sadece dağıtıcılardan alınır. Merkezi kayıt sisteminin devreye alınmasını müteakip yetki belgesi sahibi, bu yetki belgesi ile birlikte dağıtıcılardan ses ve gaz fişeği atabilen silahı satın alma işlemini gerçekleştirir.</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 xml:space="preserve">(2) Satın alma işlemini gerçekleştiren kişi fatura tarihinden itibaren bir aylık bildirim süresi içerisinde, fatura ve ses ve gaz fişeği atabilen silah ile birlikte kolluk birimine müracaat </w:t>
      </w:r>
      <w:r w:rsidRPr="009148ED">
        <w:rPr>
          <w:rFonts w:ascii="Times New Roman" w:eastAsia="Times New Roman" w:hAnsi="Times New Roman" w:cs="Times New Roman"/>
          <w:color w:val="000000"/>
          <w:sz w:val="24"/>
          <w:szCs w:val="24"/>
          <w:lang w:eastAsia="tr-TR"/>
        </w:rPr>
        <w:lastRenderedPageBreak/>
        <w:t>eder. Müracaat edilen kolluk birimince her ses ve gaz fişeği atabilen silah için Ek-3’te yer alan Ses ve Gaz Fişeği Atabilen Silah Bildirim Kartı düzenlenir.</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(3) </w:t>
      </w:r>
      <w:r w:rsidRPr="009148ED">
        <w:rPr>
          <w:rFonts w:ascii="Times New Roman" w:eastAsia="Times New Roman" w:hAnsi="Times New Roman" w:cs="Times New Roman"/>
          <w:b/>
          <w:bCs/>
          <w:color w:val="000000"/>
          <w:sz w:val="24"/>
          <w:szCs w:val="24"/>
          <w:lang w:eastAsia="tr-TR"/>
        </w:rPr>
        <w:t>(</w:t>
      </w:r>
      <w:proofErr w:type="gramStart"/>
      <w:r w:rsidRPr="009148ED">
        <w:rPr>
          <w:rFonts w:ascii="Times New Roman" w:eastAsia="Times New Roman" w:hAnsi="Times New Roman" w:cs="Times New Roman"/>
          <w:b/>
          <w:bCs/>
          <w:color w:val="000000"/>
          <w:sz w:val="24"/>
          <w:szCs w:val="24"/>
          <w:lang w:eastAsia="tr-TR"/>
        </w:rPr>
        <w:t>Ek:RG</w:t>
      </w:r>
      <w:proofErr w:type="gramEnd"/>
      <w:r w:rsidRPr="009148ED">
        <w:rPr>
          <w:rFonts w:ascii="Times New Roman" w:eastAsia="Times New Roman" w:hAnsi="Times New Roman" w:cs="Times New Roman"/>
          <w:b/>
          <w:bCs/>
          <w:color w:val="000000"/>
          <w:sz w:val="24"/>
          <w:szCs w:val="24"/>
          <w:lang w:eastAsia="tr-TR"/>
        </w:rPr>
        <w:t>-21/8/2021-31575) </w:t>
      </w:r>
      <w:r w:rsidRPr="009148ED">
        <w:rPr>
          <w:rFonts w:ascii="Times New Roman" w:eastAsia="Times New Roman" w:hAnsi="Times New Roman" w:cs="Times New Roman"/>
          <w:color w:val="000000"/>
          <w:sz w:val="24"/>
          <w:szCs w:val="24"/>
          <w:lang w:eastAsia="tr-TR"/>
        </w:rPr>
        <w:t>Film, tiyatro, sinema, şenlik, kutlama ve tören gibi etkinlikler için kullanılacak ses ve gaz fişeği atabilen silahların satışında satın alma yetkilendirme ve izin işlemleri Emniyet Genel Müdürlüğü tarafından yapılır. Bu etkinlikler için kullanılacak silahlarda genel satış amaçlı silah satın alma şartları aranmaz. Satın alma işlemi sonrasında Emniyet Genel Müdürlüğü tarafından süreli olarak izin verilir ve kullanılacak silahlar için bildirim kartı düzenleme işlemi yapılmaz. Verilen süre sonunda izin verilen silahlar Makine ve Kimya Endüstrisi Anonim Şirketinde imha edilmek üzere Emniyet Genel Müdürlüğüne teslim edilir veya ihraç edilir.</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bookmarkStart w:id="0" w:name="_GoBack"/>
      <w:bookmarkEnd w:id="0"/>
      <w:r w:rsidRPr="009148ED">
        <w:rPr>
          <w:rFonts w:ascii="Times New Roman" w:eastAsia="Times New Roman" w:hAnsi="Times New Roman" w:cs="Times New Roman"/>
          <w:b/>
          <w:bCs/>
          <w:color w:val="000000"/>
          <w:sz w:val="24"/>
          <w:szCs w:val="24"/>
          <w:lang w:eastAsia="tr-TR"/>
        </w:rPr>
        <w:t>Nakil işlemi</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b/>
          <w:bCs/>
          <w:color w:val="000000"/>
          <w:sz w:val="24"/>
          <w:szCs w:val="24"/>
          <w:lang w:eastAsia="tr-TR"/>
        </w:rPr>
        <w:t>MADDE 17 –</w:t>
      </w:r>
      <w:r w:rsidRPr="009148ED">
        <w:rPr>
          <w:rFonts w:ascii="Times New Roman" w:eastAsia="Times New Roman" w:hAnsi="Times New Roman" w:cs="Times New Roman"/>
          <w:color w:val="000000"/>
          <w:sz w:val="24"/>
          <w:szCs w:val="24"/>
          <w:lang w:eastAsia="tr-TR"/>
        </w:rPr>
        <w:t> (1) Ses ve gaz fişeği atabilen silahlar; fişekleri boşaltılarak, her an kullanıma ve erişim kolaylığına imkân vermeyecek şekilde ve bir kutu içerisinde Ek-3’te yer alan Ses ve Gaz Fişeği Atabilen Silah Bildirim Kartı ile nakledilebilirler. Bu silahların belirtilen şekil ve şartların dışında nakledilmesi taşıma olarak kabul edilir.</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(2) Bu silahlar bayiden veya üçüncü şahıslardan devir veya satın alınmasından itibaren bildirimde bulunulmasına kadar tanınan bir aylık süre içerisinde birinci fıkrada belirtilen usule göre ve ancak fatura ya da Ek-5’te yer alan belge ile nakledilebilir. Merkezi kayıt sisteminin devreye alınmasını müteakip üretici ve dağıtıcılar tarafından yurt içi veya yurt dışına satılan ses ve gaz fişeği atabilen silahlar, merkezi kayıt sistemi tarafından oluşturulan nakil belgesi ile nakledilir.</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(3) Birinci ve ikinci fıkralarda belirtilen işlemlere aykırı davranılması durumunda Kanunun 4 üncü maddesine göre işlem yapılır.</w:t>
      </w:r>
    </w:p>
    <w:p w:rsidR="009148ED" w:rsidRPr="009148ED" w:rsidRDefault="009148ED" w:rsidP="009148ED">
      <w:pPr>
        <w:spacing w:after="0" w:line="240" w:lineRule="auto"/>
        <w:ind w:firstLine="567"/>
        <w:jc w:val="both"/>
        <w:rPr>
          <w:rFonts w:ascii="Times New Roman" w:eastAsia="Times New Roman" w:hAnsi="Times New Roman" w:cs="Times New Roman"/>
          <w:color w:val="000000"/>
          <w:sz w:val="24"/>
          <w:szCs w:val="24"/>
          <w:lang w:eastAsia="tr-TR"/>
        </w:rPr>
      </w:pPr>
      <w:r w:rsidRPr="009148ED">
        <w:rPr>
          <w:rFonts w:ascii="Times New Roman" w:eastAsia="Times New Roman" w:hAnsi="Times New Roman" w:cs="Times New Roman"/>
          <w:color w:val="000000"/>
          <w:sz w:val="24"/>
          <w:szCs w:val="24"/>
          <w:lang w:eastAsia="tr-TR"/>
        </w:rPr>
        <w:t>(4) Ses ve gaz fişeği atabilen silahlar birinci ve ikinci fıkralarda belirtilen usullere uygun olarak posta veya kargo yoluyla nakledilebilir.</w:t>
      </w:r>
    </w:p>
    <w:p w:rsidR="00B360AD" w:rsidRDefault="00B360AD"/>
    <w:sectPr w:rsidR="00B360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14A2"/>
    <w:rsid w:val="004F14A2"/>
    <w:rsid w:val="009148ED"/>
    <w:rsid w:val="00B360A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grame">
    <w:name w:val="grame"/>
    <w:basedOn w:val="VarsaylanParagrafYazTipi"/>
    <w:rsid w:val="009148ED"/>
  </w:style>
  <w:style w:type="character" w:customStyle="1" w:styleId="spelle">
    <w:name w:val="spelle"/>
    <w:basedOn w:val="VarsaylanParagrafYazTipi"/>
    <w:rsid w:val="009148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grame">
    <w:name w:val="grame"/>
    <w:basedOn w:val="VarsaylanParagrafYazTipi"/>
    <w:rsid w:val="009148ED"/>
  </w:style>
  <w:style w:type="character" w:customStyle="1" w:styleId="spelle">
    <w:name w:val="spelle"/>
    <w:basedOn w:val="VarsaylanParagrafYazTipi"/>
    <w:rsid w:val="00914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8940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1812</Words>
  <Characters>10329</Characters>
  <Application>Microsoft Office Word</Application>
  <DocSecurity>0</DocSecurity>
  <Lines>86</Lines>
  <Paragraphs>24</Paragraphs>
  <ScaleCrop>false</ScaleCrop>
  <Company>Hewlett-Packard</Company>
  <LinksUpToDate>false</LinksUpToDate>
  <CharactersWithSpaces>12117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okan</dc:creator>
  <cp:keywords/>
  <dc:description/>
  <cp:lastModifiedBy>okan</cp:lastModifiedBy>
  <cp:revision>2</cp:revision>
  <dcterms:created xsi:type="dcterms:W3CDTF">2026-05-25T21:37:00Z</dcterms:created>
  <dcterms:modified xsi:type="dcterms:W3CDTF">2026-05-25T21:38:00Z</dcterms:modified>
</cp:coreProperties>
</file>