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B2545"/>
          <w:sz w:val="40"/>
        </w:rPr>
        <w:t>Al2O3/ZnO 双层单周期 kMC 计算报告</w:t>
      </w:r>
    </w:p>
    <w:p>
      <w:pPr>
        <w:jc w:val="center"/>
      </w:pPr>
      <w:r>
        <w:rPr>
          <w:rFonts w:ascii="Arial" w:hAnsi="Arial"/>
          <w:color w:val="555555"/>
          <w:sz w:val="21"/>
        </w:rPr>
        <w:t>4.5 nm Al2O3 / 6.0 nm ZnO, TEM-informed single-period geometry</w:t>
      </w:r>
    </w:p>
    <w:p>
      <w:pPr>
        <w:pStyle w:val="Heading1"/>
      </w:pPr>
      <w:r>
        <w:rPr>
          <w:rFonts w:ascii="Arial" w:hAnsi="Arial"/>
          <w:color w:val="1F4DB5"/>
        </w:rPr>
        <w:t>结构定义</w:t>
      </w:r>
    </w:p>
    <w:p>
      <w:pPr>
        <w:spacing w:after="120" w:line="276" w:lineRule="auto"/>
      </w:pPr>
      <w:r>
        <w:rPr>
          <w:rFonts w:ascii="Arial" w:hAnsi="Arial"/>
          <w:sz w:val="21"/>
        </w:rPr>
        <w:t>本报告只讨论一个双层周期：湿侧 -&gt; Al2O3 4.5 nm -&gt; Al2O3/ZnO interface -&gt; ZnO 6.0 nm -&gt; 干侧。</w:t>
      </w:r>
    </w:p>
    <w:p>
      <w:pPr>
        <w:spacing w:after="120" w:line="276" w:lineRule="auto"/>
      </w:pPr>
      <w:r>
        <w:rPr>
          <w:rFonts w:ascii="Arial" w:hAnsi="Arial"/>
          <w:sz w:val="21"/>
        </w:rPr>
        <w:t>Al2O3 层定义为致密非晶基体，并包含稀疏针孔和非贯通自由体积缺陷。ZnO 层定义为单层截断纤锌矿晶粒层，晶界贯穿 ZnO 厚度但带轻微倾斜/弯曲。</w:t>
      </w:r>
    </w:p>
    <w:p>
      <w:pPr>
        <w:spacing w:after="120" w:line="276" w:lineRule="auto"/>
      </w:pPr>
      <w:r>
        <w:rPr>
          <w:rFonts w:ascii="Arial" w:hAnsi="Arial"/>
          <w:sz w:val="21"/>
        </w:rPr>
        <w:t>该结构对应 TEM 中 5 nm 量级 Al2O3/ZnO 纳米叠层的物理图像：ZnO 层厚度小于或接近单个 ZnO 纳米晶粒尺度，因此不按厚膜式多层晶粒堆叠计算。</w:t>
      </w:r>
    </w:p>
    <w:p>
      <w:pPr>
        <w:pStyle w:val="Heading1"/>
      </w:pPr>
      <w:r>
        <w:rPr>
          <w:rFonts w:ascii="Arial" w:hAnsi="Arial"/>
          <w:color w:val="1F4DB5"/>
        </w:rPr>
        <w:t>传输路径</w:t>
      </w:r>
    </w:p>
    <w:p>
      <w:pPr>
        <w:pStyle w:val="ListBullet"/>
        <w:spacing w:after="60"/>
      </w:pPr>
      <w:r>
        <w:rPr>
          <w:rFonts w:ascii="Arial" w:hAnsi="Arial"/>
          <w:sz w:val="20"/>
        </w:rPr>
        <w:t>表面扩散找 Al2O3 针孔。</w:t>
      </w:r>
    </w:p>
    <w:p>
      <w:pPr>
        <w:pStyle w:val="ListBullet"/>
        <w:spacing w:after="60"/>
      </w:pPr>
      <w:r>
        <w:rPr>
          <w:rFonts w:ascii="Arial" w:hAnsi="Arial"/>
          <w:sz w:val="20"/>
        </w:rPr>
        <w:t>穿过 Al2O3 针孔。</w:t>
      </w:r>
    </w:p>
    <w:p>
      <w:pPr>
        <w:pStyle w:val="ListBullet"/>
        <w:spacing w:after="60"/>
      </w:pPr>
      <w:r>
        <w:rPr>
          <w:rFonts w:ascii="Arial" w:hAnsi="Arial"/>
          <w:sz w:val="20"/>
        </w:rPr>
        <w:t>在 Al2O3/ZnO 界面横向搜索 ZnO 晶界入口。</w:t>
      </w:r>
    </w:p>
    <w:p>
      <w:pPr>
        <w:pStyle w:val="ListBullet"/>
        <w:spacing w:after="60"/>
      </w:pPr>
      <w:r>
        <w:rPr>
          <w:rFonts w:ascii="Arial" w:hAnsi="Arial"/>
          <w:sz w:val="20"/>
        </w:rPr>
        <w:t>沿 ZnO 晶界穿过 6 nm ZnO。</w:t>
      </w:r>
    </w:p>
    <w:p>
      <w:pPr>
        <w:pStyle w:val="ListBullet"/>
        <w:spacing w:after="60"/>
      </w:pPr>
      <w:r>
        <w:rPr>
          <w:rFonts w:ascii="Arial" w:hAnsi="Arial"/>
          <w:sz w:val="20"/>
        </w:rPr>
        <w:t>到达干侧。</w:t>
      </w:r>
    </w:p>
    <w:p>
      <w:pPr>
        <w:spacing w:after="120" w:line="276" w:lineRule="auto"/>
      </w:pPr>
      <w:r>
        <w:rPr>
          <w:rFonts w:ascii="Arial" w:hAnsi="Arial"/>
          <w:sz w:val="21"/>
        </w:rPr>
        <w:t>若粒子没有找到 Al2O3 针孔、没有从界面进入 ZnO 晶界，或进入被阻断的晶界段，则在有限事件数或有限时间内记为未穿透。</w:t>
      </w:r>
    </w:p>
    <w:p>
      <w:pPr>
        <w:pStyle w:val="Heading1"/>
      </w:pPr>
      <w:r>
        <w:rPr>
          <w:rFonts w:ascii="Arial" w:hAnsi="Arial"/>
          <w:color w:val="1F4DB5"/>
        </w:rPr>
        <w:t>几何与物理假设</w:t>
      </w:r>
    </w:p>
    <w:p>
      <w:pPr>
        <w:pStyle w:val="ListBullet"/>
        <w:spacing w:after="60"/>
      </w:pPr>
      <w:r>
        <w:rPr>
          <w:rFonts w:ascii="Arial" w:hAnsi="Arial"/>
          <w:sz w:val="20"/>
        </w:rPr>
        <w:t>Al2O3 厚度 = 4.5 nm；ZnO 厚度 = 6.0 nm；总厚度 = 10.5 nm。</w:t>
      </w:r>
    </w:p>
    <w:p>
      <w:pPr>
        <w:pStyle w:val="ListBullet"/>
        <w:spacing w:after="60"/>
      </w:pPr>
      <w:r>
        <w:rPr>
          <w:rFonts w:ascii="Arial" w:hAnsi="Arial"/>
          <w:sz w:val="20"/>
        </w:rPr>
        <w:t>网格分辨率 = 0.5 nm；横向宽度 = 320 nm，周期边界。</w:t>
      </w:r>
    </w:p>
    <w:p>
      <w:pPr>
        <w:pStyle w:val="ListBullet"/>
        <w:spacing w:after="60"/>
      </w:pPr>
      <w:r>
        <w:rPr>
          <w:rFonts w:ascii="Arial" w:hAnsi="Arial"/>
          <w:sz w:val="20"/>
        </w:rPr>
        <w:t>粒子数 = 200000；最大事件数 = 5000000 / particle。</w:t>
      </w:r>
    </w:p>
    <w:p>
      <w:pPr>
        <w:pStyle w:val="ListBullet"/>
        <w:spacing w:after="60"/>
      </w:pPr>
      <w:r>
        <w:rPr>
          <w:rFonts w:ascii="Arial" w:hAnsi="Arial"/>
          <w:sz w:val="20"/>
        </w:rPr>
        <w:t>Al2O3 基体和 ZnO 晶粒本体不可渗透。</w:t>
      </w:r>
    </w:p>
    <w:p>
      <w:pPr>
        <w:pStyle w:val="ListBullet"/>
        <w:spacing w:after="60"/>
      </w:pPr>
      <w:r>
        <w:rPr>
          <w:rFonts w:ascii="Arial" w:hAnsi="Arial"/>
          <w:sz w:val="20"/>
        </w:rPr>
        <w:t>Al2O3 针孔 = 1-2 nm，间距 50-80 nm。</w:t>
      </w:r>
    </w:p>
    <w:p>
      <w:pPr>
        <w:pStyle w:val="ListBullet"/>
        <w:spacing w:after="60"/>
      </w:pPr>
      <w:r>
        <w:rPr>
          <w:rFonts w:ascii="Arial" w:hAnsi="Arial"/>
          <w:sz w:val="20"/>
        </w:rPr>
        <w:t>Al2O3 非贯通自由体积缺陷为局部缺陷，不计为表面贯通入口。</w:t>
      </w:r>
    </w:p>
    <w:p>
      <w:pPr>
        <w:pStyle w:val="ListBullet"/>
        <w:spacing w:after="60"/>
      </w:pPr>
      <w:r>
        <w:rPr>
          <w:rFonts w:ascii="Arial" w:hAnsi="Arial"/>
          <w:sz w:val="20"/>
        </w:rPr>
        <w:t>ZnO 晶界贯穿 ZnO 厚度，但带轻微倾斜/弯曲；晶界阻断比例 = 0.20。</w:t>
      </w:r>
    </w:p>
    <w:p>
      <w:pPr>
        <w:pStyle w:val="Heading1"/>
      </w:pPr>
      <w:r>
        <w:rPr>
          <w:rFonts w:ascii="Arial" w:hAnsi="Arial"/>
          <w:color w:val="1F4DB5"/>
        </w:rPr>
        <w:t>迁移能垒</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F2F4F7"/>
          </w:tcPr>
          <w:p>
            <w:r/>
            <w:r>
              <w:rPr>
                <w:rFonts w:ascii="Arial" w:hAnsi="Arial"/>
                <w:b/>
                <w:sz w:val="19"/>
              </w:rPr>
              <w:t>指标</w:t>
            </w:r>
          </w:p>
        </w:tc>
        <w:tc>
          <w:tcPr>
            <w:tcW w:type="dxa" w:w="5184"/>
            <w:vAlign w:val="center"/>
            <w:shd w:fill="F2F4F7"/>
          </w:tcPr>
          <w:p>
            <w:r/>
            <w:r>
              <w:rPr>
                <w:rFonts w:ascii="Arial" w:hAnsi="Arial"/>
                <w:b/>
                <w:sz w:val="19"/>
              </w:rPr>
              <w:t>数值</w:t>
            </w:r>
          </w:p>
        </w:tc>
      </w:tr>
      <w:tr>
        <w:tc>
          <w:tcPr>
            <w:tcW w:type="dxa" w:w="3600"/>
            <w:vAlign w:val="center"/>
          </w:tcPr>
          <w:p>
            <w:r/>
            <w:r>
              <w:rPr>
                <w:rFonts w:ascii="Arial" w:hAnsi="Arial"/>
                <w:b w:val="0"/>
                <w:sz w:val="19"/>
              </w:rPr>
              <w:t>Al2O3 表面扩散</w:t>
            </w:r>
          </w:p>
        </w:tc>
        <w:tc>
          <w:tcPr>
            <w:tcW w:type="dxa" w:w="5184"/>
            <w:vAlign w:val="center"/>
          </w:tcPr>
          <w:p>
            <w:r/>
            <w:r>
              <w:rPr>
                <w:rFonts w:ascii="Arial" w:hAnsi="Arial"/>
                <w:b w:val="0"/>
                <w:sz w:val="19"/>
              </w:rPr>
              <w:t>0.45 eV</w:t>
            </w:r>
          </w:p>
        </w:tc>
      </w:tr>
      <w:tr>
        <w:tc>
          <w:tcPr>
            <w:tcW w:type="dxa" w:w="3600"/>
            <w:vAlign w:val="center"/>
          </w:tcPr>
          <w:p>
            <w:r/>
            <w:r>
              <w:rPr>
                <w:rFonts w:ascii="Arial" w:hAnsi="Arial"/>
                <w:b w:val="0"/>
                <w:sz w:val="19"/>
              </w:rPr>
              <w:t>Al2O3 针孔迁移</w:t>
            </w:r>
          </w:p>
        </w:tc>
        <w:tc>
          <w:tcPr>
            <w:tcW w:type="dxa" w:w="5184"/>
            <w:vAlign w:val="center"/>
          </w:tcPr>
          <w:p>
            <w:r/>
            <w:r>
              <w:rPr>
                <w:rFonts w:ascii="Arial" w:hAnsi="Arial"/>
                <w:b w:val="0"/>
                <w:sz w:val="19"/>
              </w:rPr>
              <w:t>0.58 eV</w:t>
            </w:r>
          </w:p>
        </w:tc>
      </w:tr>
      <w:tr>
        <w:tc>
          <w:tcPr>
            <w:tcW w:type="dxa" w:w="3600"/>
            <w:vAlign w:val="center"/>
          </w:tcPr>
          <w:p>
            <w:r/>
            <w:r>
              <w:rPr>
                <w:rFonts w:ascii="Arial" w:hAnsi="Arial"/>
                <w:b w:val="0"/>
                <w:sz w:val="19"/>
              </w:rPr>
              <w:t>Al2O3/ZnO 界面迁移</w:t>
            </w:r>
          </w:p>
        </w:tc>
        <w:tc>
          <w:tcPr>
            <w:tcW w:type="dxa" w:w="5184"/>
            <w:vAlign w:val="center"/>
          </w:tcPr>
          <w:p>
            <w:r/>
            <w:r>
              <w:rPr>
                <w:rFonts w:ascii="Arial" w:hAnsi="Arial"/>
                <w:b w:val="0"/>
                <w:sz w:val="19"/>
              </w:rPr>
              <w:t>0.62 eV</w:t>
            </w:r>
          </w:p>
        </w:tc>
      </w:tr>
      <w:tr>
        <w:tc>
          <w:tcPr>
            <w:tcW w:type="dxa" w:w="3600"/>
            <w:vAlign w:val="center"/>
          </w:tcPr>
          <w:p>
            <w:r/>
            <w:r>
              <w:rPr>
                <w:rFonts w:ascii="Arial" w:hAnsi="Arial"/>
                <w:b w:val="0"/>
                <w:sz w:val="19"/>
              </w:rPr>
              <w:t>ZnO 晶界迁移</w:t>
            </w:r>
          </w:p>
        </w:tc>
        <w:tc>
          <w:tcPr>
            <w:tcW w:type="dxa" w:w="5184"/>
            <w:vAlign w:val="center"/>
          </w:tcPr>
          <w:p>
            <w:r/>
            <w:r>
              <w:rPr>
                <w:rFonts w:ascii="Arial" w:hAnsi="Arial"/>
                <w:b w:val="0"/>
                <w:sz w:val="19"/>
              </w:rPr>
              <w:t>0.72 eV</w:t>
            </w:r>
          </w:p>
        </w:tc>
      </w:tr>
      <w:tr>
        <w:tc>
          <w:tcPr>
            <w:tcW w:type="dxa" w:w="3600"/>
            <w:vAlign w:val="center"/>
          </w:tcPr>
          <w:p>
            <w:r/>
            <w:r>
              <w:rPr>
                <w:rFonts w:ascii="Arial" w:hAnsi="Arial"/>
                <w:b w:val="0"/>
                <w:sz w:val="19"/>
              </w:rPr>
              <w:t>Al2O3 致密基体</w:t>
            </w:r>
          </w:p>
        </w:tc>
        <w:tc>
          <w:tcPr>
            <w:tcW w:type="dxa" w:w="5184"/>
            <w:vAlign w:val="center"/>
          </w:tcPr>
          <w:p>
            <w:r/>
            <w:r>
              <w:rPr>
                <w:rFonts w:ascii="Arial" w:hAnsi="Arial"/>
                <w:b w:val="0"/>
                <w:sz w:val="19"/>
              </w:rPr>
              <w:t>不可渗透</w:t>
            </w:r>
          </w:p>
        </w:tc>
      </w:tr>
      <w:tr>
        <w:tc>
          <w:tcPr>
            <w:tcW w:type="dxa" w:w="3600"/>
            <w:vAlign w:val="center"/>
          </w:tcPr>
          <w:p>
            <w:r/>
            <w:r>
              <w:rPr>
                <w:rFonts w:ascii="Arial" w:hAnsi="Arial"/>
                <w:b w:val="0"/>
                <w:sz w:val="19"/>
              </w:rPr>
              <w:t>ZnO 晶粒本体</w:t>
            </w:r>
          </w:p>
        </w:tc>
        <w:tc>
          <w:tcPr>
            <w:tcW w:type="dxa" w:w="5184"/>
            <w:vAlign w:val="center"/>
          </w:tcPr>
          <w:p>
            <w:r/>
            <w:r>
              <w:rPr>
                <w:rFonts w:ascii="Arial" w:hAnsi="Arial"/>
                <w:b w:val="0"/>
                <w:sz w:val="19"/>
              </w:rPr>
              <w:t>不可渗透</w:t>
            </w:r>
          </w:p>
        </w:tc>
      </w:tr>
      <w:tr>
        <w:tc>
          <w:tcPr>
            <w:tcW w:type="dxa" w:w="3600"/>
            <w:vAlign w:val="center"/>
          </w:tcPr>
          <w:p>
            <w:r/>
            <w:r>
              <w:rPr>
                <w:rFonts w:ascii="Arial" w:hAnsi="Arial"/>
                <w:b w:val="0"/>
                <w:sz w:val="19"/>
              </w:rPr>
              <w:t>阻断晶界</w:t>
            </w:r>
          </w:p>
        </w:tc>
        <w:tc>
          <w:tcPr>
            <w:tcW w:type="dxa" w:w="5184"/>
            <w:vAlign w:val="center"/>
          </w:tcPr>
          <w:p>
            <w:r/>
            <w:r>
              <w:rPr>
                <w:rFonts w:ascii="Arial" w:hAnsi="Arial"/>
                <w:b w:val="0"/>
                <w:sz w:val="19"/>
              </w:rPr>
              <w:t>不可渗透</w:t>
            </w:r>
          </w:p>
        </w:tc>
      </w:tr>
    </w:tbl>
    <w:p/>
    <w:p>
      <w:pPr>
        <w:pStyle w:val="Heading1"/>
      </w:pPr>
      <w:r>
        <w:rPr>
          <w:rFonts w:ascii="Arial" w:hAnsi="Arial"/>
          <w:color w:val="1F4DB5"/>
        </w:rPr>
        <w:t>计算结果</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F2F4F7"/>
          </w:tcPr>
          <w:p>
            <w:r/>
            <w:r>
              <w:rPr>
                <w:rFonts w:ascii="Arial" w:hAnsi="Arial"/>
                <w:b/>
                <w:sz w:val="19"/>
              </w:rPr>
              <w:t>指标</w:t>
            </w:r>
          </w:p>
        </w:tc>
        <w:tc>
          <w:tcPr>
            <w:tcW w:type="dxa" w:w="5184"/>
            <w:vAlign w:val="center"/>
            <w:shd w:fill="F2F4F7"/>
          </w:tcPr>
          <w:p>
            <w:r/>
            <w:r>
              <w:rPr>
                <w:rFonts w:ascii="Arial" w:hAnsi="Arial"/>
                <w:b/>
                <w:sz w:val="19"/>
              </w:rPr>
              <w:t>数值</w:t>
            </w:r>
          </w:p>
        </w:tc>
      </w:tr>
      <w:tr>
        <w:tc>
          <w:tcPr>
            <w:tcW w:type="dxa" w:w="3600"/>
            <w:vAlign w:val="center"/>
          </w:tcPr>
          <w:p>
            <w:r/>
            <w:r>
              <w:rPr>
                <w:rFonts w:ascii="Arial" w:hAnsi="Arial"/>
                <w:b w:val="0"/>
                <w:sz w:val="19"/>
              </w:rPr>
              <w:t>Ptrans</w:t>
            </w:r>
          </w:p>
        </w:tc>
        <w:tc>
          <w:tcPr>
            <w:tcW w:type="dxa" w:w="5184"/>
            <w:vAlign w:val="center"/>
          </w:tcPr>
          <w:p>
            <w:r/>
            <w:r>
              <w:rPr>
                <w:rFonts w:ascii="Arial" w:hAnsi="Arial"/>
                <w:b w:val="0"/>
                <w:sz w:val="19"/>
              </w:rPr>
              <w:t>0.023115</w:t>
            </w:r>
          </w:p>
        </w:tc>
      </w:tr>
      <w:tr>
        <w:tc>
          <w:tcPr>
            <w:tcW w:type="dxa" w:w="3600"/>
            <w:vAlign w:val="center"/>
          </w:tcPr>
          <w:p>
            <w:r/>
            <w:r>
              <w:rPr>
                <w:rFonts w:ascii="Arial" w:hAnsi="Arial"/>
                <w:b w:val="0"/>
                <w:sz w:val="19"/>
              </w:rPr>
              <w:t>穿透粒子数</w:t>
            </w:r>
          </w:p>
        </w:tc>
        <w:tc>
          <w:tcPr>
            <w:tcW w:type="dxa" w:w="5184"/>
            <w:vAlign w:val="center"/>
          </w:tcPr>
          <w:p>
            <w:r/>
            <w:r>
              <w:rPr>
                <w:rFonts w:ascii="Arial" w:hAnsi="Arial"/>
                <w:b w:val="0"/>
                <w:sz w:val="19"/>
              </w:rPr>
              <w:t>4623 / 200000</w:t>
            </w:r>
          </w:p>
        </w:tc>
      </w:tr>
      <w:tr>
        <w:tc>
          <w:tcPr>
            <w:tcW w:type="dxa" w:w="3600"/>
            <w:vAlign w:val="center"/>
          </w:tcPr>
          <w:p>
            <w:r/>
            <w:r>
              <w:rPr>
                <w:rFonts w:ascii="Arial" w:hAnsi="Arial"/>
                <w:b w:val="0"/>
                <w:sz w:val="19"/>
              </w:rPr>
              <w:t>FPT mean</w:t>
            </w:r>
          </w:p>
        </w:tc>
        <w:tc>
          <w:tcPr>
            <w:tcW w:type="dxa" w:w="5184"/>
            <w:vAlign w:val="center"/>
          </w:tcPr>
          <w:p>
            <w:r/>
            <w:r>
              <w:rPr>
                <w:rFonts w:ascii="Arial" w:hAnsi="Arial"/>
                <w:b w:val="0"/>
                <w:sz w:val="19"/>
              </w:rPr>
              <w:t>4526.63 s</w:t>
            </w:r>
          </w:p>
        </w:tc>
      </w:tr>
      <w:tr>
        <w:tc>
          <w:tcPr>
            <w:tcW w:type="dxa" w:w="3600"/>
            <w:vAlign w:val="center"/>
          </w:tcPr>
          <w:p>
            <w:r/>
            <w:r>
              <w:rPr>
                <w:rFonts w:ascii="Arial" w:hAnsi="Arial"/>
                <w:b w:val="0"/>
                <w:sz w:val="19"/>
              </w:rPr>
              <w:t>FPT median</w:t>
            </w:r>
          </w:p>
        </w:tc>
        <w:tc>
          <w:tcPr>
            <w:tcW w:type="dxa" w:w="5184"/>
            <w:vAlign w:val="center"/>
          </w:tcPr>
          <w:p>
            <w:r/>
            <w:r>
              <w:rPr>
                <w:rFonts w:ascii="Arial" w:hAnsi="Arial"/>
                <w:b w:val="0"/>
                <w:sz w:val="19"/>
              </w:rPr>
              <w:t>4485.18 s</w:t>
            </w:r>
          </w:p>
        </w:tc>
      </w:tr>
      <w:tr>
        <w:tc>
          <w:tcPr>
            <w:tcW w:type="dxa" w:w="3600"/>
            <w:vAlign w:val="center"/>
          </w:tcPr>
          <w:p>
            <w:r/>
            <w:r>
              <w:rPr>
                <w:rFonts w:ascii="Arial" w:hAnsi="Arial"/>
                <w:b w:val="0"/>
                <w:sz w:val="19"/>
              </w:rPr>
              <w:t>FPT p10 / p90</w:t>
            </w:r>
          </w:p>
        </w:tc>
        <w:tc>
          <w:tcPr>
            <w:tcW w:type="dxa" w:w="5184"/>
            <w:vAlign w:val="center"/>
          </w:tcPr>
          <w:p>
            <w:r/>
            <w:r>
              <w:rPr>
                <w:rFonts w:ascii="Arial" w:hAnsi="Arial"/>
                <w:b w:val="0"/>
                <w:sz w:val="19"/>
              </w:rPr>
              <w:t>950.76 / 8175.06 s</w:t>
            </w:r>
          </w:p>
        </w:tc>
      </w:tr>
      <w:tr>
        <w:tc>
          <w:tcPr>
            <w:tcW w:type="dxa" w:w="3600"/>
            <w:vAlign w:val="center"/>
          </w:tcPr>
          <w:p>
            <w:r/>
            <w:r>
              <w:rPr>
                <w:rFonts w:ascii="Arial" w:hAnsi="Arial"/>
                <w:b w:val="0"/>
                <w:sz w:val="19"/>
              </w:rPr>
              <w:t>Lpath mean</w:t>
            </w:r>
          </w:p>
        </w:tc>
        <w:tc>
          <w:tcPr>
            <w:tcW w:type="dxa" w:w="5184"/>
            <w:vAlign w:val="center"/>
          </w:tcPr>
          <w:p>
            <w:r/>
            <w:r>
              <w:rPr>
                <w:rFonts w:ascii="Arial" w:hAnsi="Arial"/>
                <w:b w:val="0"/>
                <w:sz w:val="19"/>
              </w:rPr>
              <w:t>1.2465 mm</w:t>
            </w:r>
          </w:p>
        </w:tc>
      </w:tr>
      <w:tr>
        <w:tc>
          <w:tcPr>
            <w:tcW w:type="dxa" w:w="3600"/>
            <w:vAlign w:val="center"/>
          </w:tcPr>
          <w:p>
            <w:r/>
            <w:r>
              <w:rPr>
                <w:rFonts w:ascii="Arial" w:hAnsi="Arial"/>
                <w:b w:val="0"/>
                <w:sz w:val="19"/>
              </w:rPr>
              <w:t>Lpath median</w:t>
            </w:r>
          </w:p>
        </w:tc>
        <w:tc>
          <w:tcPr>
            <w:tcW w:type="dxa" w:w="5184"/>
            <w:vAlign w:val="center"/>
          </w:tcPr>
          <w:p>
            <w:r/>
            <w:r>
              <w:rPr>
                <w:rFonts w:ascii="Arial" w:hAnsi="Arial"/>
                <w:b w:val="0"/>
                <w:sz w:val="19"/>
              </w:rPr>
              <w:t>1.2316 mm</w:t>
            </w:r>
          </w:p>
        </w:tc>
      </w:tr>
      <w:tr>
        <w:tc>
          <w:tcPr>
            <w:tcW w:type="dxa" w:w="3600"/>
            <w:vAlign w:val="center"/>
          </w:tcPr>
          <w:p>
            <w:r/>
            <w:r>
              <w:rPr>
                <w:rFonts w:ascii="Arial" w:hAnsi="Arial"/>
                <w:b w:val="0"/>
                <w:sz w:val="19"/>
              </w:rPr>
              <w:t>tau mean</w:t>
            </w:r>
          </w:p>
        </w:tc>
        <w:tc>
          <w:tcPr>
            <w:tcW w:type="dxa" w:w="5184"/>
            <w:vAlign w:val="center"/>
          </w:tcPr>
          <w:p>
            <w:r/>
            <w:r>
              <w:rPr>
                <w:rFonts w:ascii="Arial" w:hAnsi="Arial"/>
                <w:b w:val="0"/>
                <w:sz w:val="19"/>
              </w:rPr>
              <w:t>1.187e5</w:t>
            </w:r>
          </w:p>
        </w:tc>
      </w:tr>
      <w:tr>
        <w:tc>
          <w:tcPr>
            <w:tcW w:type="dxa" w:w="3600"/>
            <w:vAlign w:val="center"/>
          </w:tcPr>
          <w:p>
            <w:r/>
            <w:r>
              <w:rPr>
                <w:rFonts w:ascii="Arial" w:hAnsi="Arial"/>
                <w:b w:val="0"/>
                <w:sz w:val="19"/>
              </w:rPr>
              <w:t>D_eff, mean-FPT</w:t>
            </w:r>
          </w:p>
        </w:tc>
        <w:tc>
          <w:tcPr>
            <w:tcW w:type="dxa" w:w="5184"/>
            <w:vAlign w:val="center"/>
          </w:tcPr>
          <w:p>
            <w:r/>
            <w:r>
              <w:rPr>
                <w:rFonts w:ascii="Arial" w:hAnsi="Arial"/>
                <w:b w:val="0"/>
                <w:sz w:val="19"/>
              </w:rPr>
              <w:t>1.218e-20 m2/s</w:t>
            </w:r>
          </w:p>
        </w:tc>
      </w:tr>
      <w:tr>
        <w:tc>
          <w:tcPr>
            <w:tcW w:type="dxa" w:w="3600"/>
            <w:vAlign w:val="center"/>
          </w:tcPr>
          <w:p>
            <w:r/>
            <w:r>
              <w:rPr>
                <w:rFonts w:ascii="Arial" w:hAnsi="Arial"/>
                <w:b w:val="0"/>
                <w:sz w:val="19"/>
              </w:rPr>
              <w:t>WVTR, ideal vapor delta_c</w:t>
            </w:r>
          </w:p>
        </w:tc>
        <w:tc>
          <w:tcPr>
            <w:tcW w:type="dxa" w:w="5184"/>
            <w:vAlign w:val="center"/>
          </w:tcPr>
          <w:p>
            <w:r/>
            <w:r>
              <w:rPr>
                <w:rFonts w:ascii="Arial" w:hAnsi="Arial"/>
                <w:b w:val="0"/>
                <w:sz w:val="19"/>
              </w:rPr>
              <w:t>4.164e-06 g m^-2 day^-1</w:t>
            </w:r>
          </w:p>
        </w:tc>
      </w:tr>
      <w:tr>
        <w:tc>
          <w:tcPr>
            <w:tcW w:type="dxa" w:w="3600"/>
            <w:vAlign w:val="center"/>
          </w:tcPr>
          <w:p>
            <w:r/>
            <w:r>
              <w:rPr>
                <w:rFonts w:ascii="Arial" w:hAnsi="Arial"/>
                <w:b w:val="0"/>
                <w:sz w:val="19"/>
              </w:rPr>
              <w:t>WVTR, literature sorbed C1</w:t>
            </w:r>
          </w:p>
        </w:tc>
        <w:tc>
          <w:tcPr>
            <w:tcW w:type="dxa" w:w="5184"/>
            <w:vAlign w:val="center"/>
          </w:tcPr>
          <w:p>
            <w:r/>
            <w:r>
              <w:rPr>
                <w:rFonts w:ascii="Arial" w:hAnsi="Arial"/>
                <w:b w:val="0"/>
                <w:sz w:val="19"/>
              </w:rPr>
              <w:t>6.784e-04 g m^-2 day^-1</w:t>
            </w:r>
          </w:p>
        </w:tc>
      </w:tr>
      <w:tr>
        <w:tc>
          <w:tcPr>
            <w:tcW w:type="dxa" w:w="3600"/>
            <w:vAlign w:val="center"/>
          </w:tcPr>
          <w:p>
            <w:r/>
            <w:r>
              <w:rPr>
                <w:rFonts w:ascii="Arial" w:hAnsi="Arial"/>
                <w:b w:val="0"/>
                <w:sz w:val="19"/>
              </w:rPr>
              <w:t>未穿透粒子数</w:t>
            </w:r>
          </w:p>
        </w:tc>
        <w:tc>
          <w:tcPr>
            <w:tcW w:type="dxa" w:w="5184"/>
            <w:vAlign w:val="center"/>
          </w:tcPr>
          <w:p>
            <w:r/>
            <w:r>
              <w:rPr>
                <w:rFonts w:ascii="Arial" w:hAnsi="Arial"/>
                <w:b w:val="0"/>
                <w:sz w:val="19"/>
              </w:rPr>
              <w:t>195377</w:t>
            </w:r>
          </w:p>
        </w:tc>
      </w:tr>
      <w:tr>
        <w:tc>
          <w:tcPr>
            <w:tcW w:type="dxa" w:w="3600"/>
            <w:vAlign w:val="center"/>
          </w:tcPr>
          <w:p>
            <w:r/>
            <w:r>
              <w:rPr>
                <w:rFonts w:ascii="Arial" w:hAnsi="Arial"/>
                <w:b w:val="0"/>
                <w:sz w:val="19"/>
              </w:rPr>
              <w:t>未穿透最终深度 mean / median</w:t>
            </w:r>
          </w:p>
        </w:tc>
        <w:tc>
          <w:tcPr>
            <w:tcW w:type="dxa" w:w="5184"/>
            <w:vAlign w:val="center"/>
          </w:tcPr>
          <w:p>
            <w:r/>
            <w:r>
              <w:rPr>
                <w:rFonts w:ascii="Arial" w:hAnsi="Arial"/>
                <w:b w:val="0"/>
                <w:sz w:val="19"/>
              </w:rPr>
              <w:t>2.570 / 3.000 nm</w:t>
            </w:r>
          </w:p>
        </w:tc>
      </w:tr>
    </w:tbl>
    <w:p/>
    <w:p>
      <w:pPr>
        <w:pStyle w:val="Heading1"/>
      </w:pPr>
      <w:r>
        <w:rPr>
          <w:rFonts w:ascii="Arial" w:hAnsi="Arial"/>
          <w:color w:val="1F4DB5"/>
        </w:rPr>
        <w:t>结构与 FPT 摘要图</w:t>
      </w:r>
    </w:p>
    <w:p>
      <w:pPr>
        <w:spacing w:before="120" w:after="40"/>
        <w:jc w:val="center"/>
      </w:pPr>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bilayer_corrected_summary.png"/>
                    <pic:cNvPicPr/>
                  </pic:nvPicPr>
                  <pic:blipFill>
                    <a:blip r:embed="rId9"/>
                    <a:stretch>
                      <a:fillRect/>
                    </a:stretch>
                  </pic:blipFill>
                  <pic:spPr>
                    <a:xfrm>
                      <a:off x="0" y="0"/>
                      <a:ext cx="5577840" cy="3585754"/>
                    </a:xfrm>
                    <a:prstGeom prst="rect"/>
                  </pic:spPr>
                </pic:pic>
              </a:graphicData>
            </a:graphic>
          </wp:inline>
        </w:drawing>
      </w:r>
    </w:p>
    <w:p>
      <w:pPr>
        <w:spacing w:after="160"/>
        <w:jc w:val="center"/>
      </w:pPr>
      <w:r>
        <w:rPr>
          <w:rFonts w:ascii="Arial" w:hAnsi="Arial"/>
          <w:i/>
          <w:color w:val="555555"/>
          <w:sz w:val="18"/>
        </w:rPr>
        <w:t>图 1. 结构与 FPT 摘要图。</w:t>
      </w:r>
    </w:p>
    <w:p>
      <w:pPr>
        <w:spacing w:after="120" w:line="276" w:lineRule="auto"/>
      </w:pPr>
      <w:r>
        <w:rPr>
          <w:rFonts w:ascii="Arial" w:hAnsi="Arial"/>
          <w:sz w:val="21"/>
        </w:rPr>
        <w:t>结构图用于确认计算几何是否符合“Al2O3 针孔 + 界面横向搜索 + 单层截断 ZnO 晶界”的结构定义。FPT 摘要显示只有少数粒子在有限事件数内完成穿透。</w:t>
      </w:r>
    </w:p>
    <w:p>
      <w:pPr>
        <w:pStyle w:val="Heading1"/>
      </w:pPr>
      <w:r>
        <w:rPr>
          <w:rFonts w:ascii="Arial" w:hAnsi="Arial"/>
          <w:color w:val="1F4DB5"/>
        </w:rPr>
        <w:t>4 个统计图及解释</w:t>
      </w:r>
    </w:p>
    <w:p>
      <w:pPr>
        <w:spacing w:before="120" w:after="40"/>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kmc_metric_distributions.png"/>
                    <pic:cNvPicPr/>
                  </pic:nvPicPr>
                  <pic:blipFill>
                    <a:blip r:embed="rId10"/>
                    <a:stretch>
                      <a:fillRect/>
                    </a:stretch>
                  </pic:blipFill>
                  <pic:spPr>
                    <a:xfrm>
                      <a:off x="0" y="0"/>
                      <a:ext cx="5669280" cy="4049486"/>
                    </a:xfrm>
                    <a:prstGeom prst="rect"/>
                  </pic:spPr>
                </pic:pic>
              </a:graphicData>
            </a:graphic>
          </wp:inline>
        </w:drawing>
      </w:r>
    </w:p>
    <w:p>
      <w:pPr>
        <w:spacing w:after="160"/>
        <w:jc w:val="center"/>
      </w:pPr>
      <w:r>
        <w:rPr>
          <w:rFonts w:ascii="Arial" w:hAnsi="Arial"/>
          <w:i/>
          <w:color w:val="555555"/>
          <w:sz w:val="18"/>
        </w:rPr>
        <w:t>图 2. FPT、路径长度、曲折度与未穿透深度分布。</w:t>
      </w:r>
    </w:p>
    <w:p>
      <w:pPr>
        <w:pStyle w:val="Heading2"/>
      </w:pPr>
      <w:r>
        <w:rPr>
          <w:rFonts w:ascii="Arial" w:hAnsi="Arial"/>
          <w:color w:val="1F4D78"/>
        </w:rPr>
        <w:t>图 2a: FPT 分布</w:t>
      </w:r>
    </w:p>
    <w:p>
      <w:pPr>
        <w:spacing w:after="120" w:line="276" w:lineRule="auto"/>
      </w:pPr>
      <w:r>
        <w:rPr>
          <w:rFonts w:ascii="Arial" w:hAnsi="Arial"/>
          <w:sz w:val="21"/>
        </w:rPr>
        <w:t>左上图统计成功穿透粒子的首次通过时间。成功粒子的 FPT 均值为 4526.63 s，中位数为 4485.18 s，p10/p90 为 950.76/8175.06 s。该分布说明，能够完成穿透的粒子也需要经历较长的界面搜索和晶界扩散过程。</w:t>
      </w:r>
    </w:p>
    <w:p>
      <w:pPr>
        <w:pStyle w:val="Heading2"/>
      </w:pPr>
      <w:r>
        <w:rPr>
          <w:rFonts w:ascii="Arial" w:hAnsi="Arial"/>
          <w:color w:val="1F4D78"/>
        </w:rPr>
        <w:t>图 2b: 路径长度分布</w:t>
      </w:r>
    </w:p>
    <w:p>
      <w:pPr>
        <w:spacing w:after="120" w:line="276" w:lineRule="auto"/>
      </w:pPr>
      <w:r>
        <w:rPr>
          <w:rFonts w:ascii="Arial" w:hAnsi="Arial"/>
          <w:sz w:val="21"/>
        </w:rPr>
        <w:t>右上图统计成功穿透粒子的水分子路径长度。平均 Lpath = 1.2465 mm，中位数 = 1.2316 mm，而膜厚只有 10.5 nm。路径长度远大于膜厚，说明粒子在表面、界面和 ZnO 晶界中发生大量横向/往返迁移。</w:t>
      </w:r>
    </w:p>
    <w:p>
      <w:pPr>
        <w:pStyle w:val="Heading2"/>
      </w:pPr>
      <w:r>
        <w:rPr>
          <w:rFonts w:ascii="Arial" w:hAnsi="Arial"/>
          <w:color w:val="1F4D78"/>
        </w:rPr>
        <w:t>图 2c: 曲折度分布</w:t>
      </w:r>
    </w:p>
    <w:p>
      <w:pPr>
        <w:spacing w:after="120" w:line="276" w:lineRule="auto"/>
      </w:pPr>
      <w:r>
        <w:rPr>
          <w:rFonts w:ascii="Arial" w:hAnsi="Arial"/>
          <w:sz w:val="21"/>
        </w:rPr>
        <w:t>左下图统计 tau = Lpath / Lfilm。平均 tau = 1.187e5，中位数 = 1.173e5。高曲折度来自 Al2O3 针孔稀疏、ZnO 晶界入口与针孔出口错位，以及 ZnO 晶粒本体不可渗透。</w:t>
      </w:r>
    </w:p>
    <w:p>
      <w:pPr>
        <w:pStyle w:val="Heading2"/>
      </w:pPr>
      <w:r>
        <w:rPr>
          <w:rFonts w:ascii="Arial" w:hAnsi="Arial"/>
          <w:color w:val="1F4D78"/>
        </w:rPr>
        <w:t>图 2d: 未穿透粒子最终深度分布</w:t>
      </w:r>
    </w:p>
    <w:p>
      <w:pPr>
        <w:spacing w:after="120" w:line="276" w:lineRule="auto"/>
      </w:pPr>
      <w:r>
        <w:rPr>
          <w:rFonts w:ascii="Arial" w:hAnsi="Arial"/>
          <w:sz w:val="21"/>
        </w:rPr>
        <w:t>右下图统计未穿透粒子的最终深度。未穿透粒子数为 195377，最终深度均值为 2.570 nm，中位数为 3.000 nm。该分布表明主要滞留发生在 Al2O3 针孔内部或 Al2O3/ZnO 界面附近。</w:t>
      </w:r>
    </w:p>
    <w:p>
      <w:pPr>
        <w:pStyle w:val="Heading1"/>
      </w:pPr>
      <w:r>
        <w:rPr>
          <w:rFonts w:ascii="Arial" w:hAnsi="Arial"/>
          <w:color w:val="1F4DB5"/>
        </w:rPr>
        <w:t>FPT 与路径长度关系图</w:t>
      </w:r>
    </w:p>
    <w:p>
      <w:pPr>
        <w:spacing w:before="120" w:after="40"/>
        <w:jc w:val="center"/>
      </w:pPr>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kmc_fpt_vs_path_length.png"/>
                    <pic:cNvPicPr/>
                  </pic:nvPicPr>
                  <pic:blipFill>
                    <a:blip r:embed="rId11"/>
                    <a:stretch>
                      <a:fillRect/>
                    </a:stretch>
                  </pic:blipFill>
                  <pic:spPr>
                    <a:xfrm>
                      <a:off x="0" y="0"/>
                      <a:ext cx="5212080" cy="3909060"/>
                    </a:xfrm>
                    <a:prstGeom prst="rect"/>
                  </pic:spPr>
                </pic:pic>
              </a:graphicData>
            </a:graphic>
          </wp:inline>
        </w:drawing>
      </w:r>
    </w:p>
    <w:p>
      <w:pPr>
        <w:spacing w:after="160"/>
        <w:jc w:val="center"/>
      </w:pPr>
      <w:r>
        <w:rPr>
          <w:rFonts w:ascii="Arial" w:hAnsi="Arial"/>
          <w:i/>
          <w:color w:val="555555"/>
          <w:sz w:val="18"/>
        </w:rPr>
        <w:t>图 3. 成功穿透粒子的 FPT 与路径长度关系。</w:t>
      </w:r>
    </w:p>
    <w:p>
      <w:pPr>
        <w:spacing w:after="120" w:line="276" w:lineRule="auto"/>
      </w:pPr>
      <w:r>
        <w:rPr>
          <w:rFonts w:ascii="Arial" w:hAnsi="Arial"/>
          <w:sz w:val="21"/>
        </w:rPr>
        <w:t>该散点图只统计成功穿透粒子。横轴为水分子累计路径长度，纵轴为首次通过时间。路径长度越长，FPT 通常越长；但二者并非严格线性，因为 kMC 中每一步的等待时间还取决于所在通道的迁移能垒和局部可选跳跃方向。</w:t>
      </w:r>
    </w:p>
    <w:p>
      <w:pPr>
        <w:spacing w:after="120" w:line="276" w:lineRule="auto"/>
      </w:pPr>
      <w:r>
        <w:rPr>
          <w:rFonts w:ascii="Arial" w:hAnsi="Arial"/>
          <w:sz w:val="21"/>
        </w:rPr>
        <w:t>该图说明成功穿透并非垂直短路，而是由表面扩散、界面横向搜索和 ZnO 晶界受限扩散共同形成的长路径随机过程。</w:t>
      </w:r>
    </w:p>
    <w:p>
      <w:pPr>
        <w:pStyle w:val="Heading1"/>
      </w:pPr>
      <w:r>
        <w:rPr>
          <w:rFonts w:ascii="Arial" w:hAnsi="Arial"/>
          <w:color w:val="1F4DB5"/>
        </w:rPr>
        <w:t>结论</w:t>
      </w:r>
    </w:p>
    <w:p>
      <w:pPr>
        <w:spacing w:after="120" w:line="276" w:lineRule="auto"/>
      </w:pPr>
      <w:r>
        <w:rPr>
          <w:rFonts w:ascii="Arial" w:hAnsi="Arial"/>
          <w:sz w:val="21"/>
        </w:rPr>
        <w:t>对 4.5 nm Al2O3 / 6 nm ZnO 双层单周期结构，ZnO 超薄层不能提供厚膜式多层晶粒迷宫，但 Al2O3 针孔与 ZnO 晶界入口的错配、ZnO 晶粒本体不可渗透，以及局部晶界阻断，仍能显著降低有限时间穿透概率并保持较高曲折度。</w:t>
      </w:r>
    </w:p>
    <w:p>
      <w:pPr>
        <w:pStyle w:val="Heading1"/>
      </w:pPr>
      <w:r>
        <w:rPr>
          <w:rFonts w:ascii="Arial" w:hAnsi="Arial"/>
          <w:color w:val="1F4DB5"/>
        </w:rPr>
        <w:t>缩写与符号说明</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F2F4F7"/>
          </w:tcPr>
          <w:p>
            <w:r/>
            <w:r>
              <w:rPr>
                <w:rFonts w:ascii="Arial" w:hAnsi="Arial"/>
                <w:b/>
                <w:sz w:val="19"/>
              </w:rPr>
              <w:t>指标</w:t>
            </w:r>
          </w:p>
        </w:tc>
        <w:tc>
          <w:tcPr>
            <w:tcW w:type="dxa" w:w="5184"/>
            <w:vAlign w:val="center"/>
            <w:shd w:fill="F2F4F7"/>
          </w:tcPr>
          <w:p>
            <w:r/>
            <w:r>
              <w:rPr>
                <w:rFonts w:ascii="Arial" w:hAnsi="Arial"/>
                <w:b/>
                <w:sz w:val="19"/>
              </w:rPr>
              <w:t>数值</w:t>
            </w:r>
          </w:p>
        </w:tc>
      </w:tr>
      <w:tr>
        <w:tc>
          <w:tcPr>
            <w:tcW w:type="dxa" w:w="3600"/>
            <w:vAlign w:val="center"/>
          </w:tcPr>
          <w:p>
            <w:r/>
            <w:r>
              <w:rPr>
                <w:rFonts w:ascii="Arial" w:hAnsi="Arial"/>
                <w:b w:val="0"/>
                <w:sz w:val="19"/>
              </w:rPr>
              <w:t>Al2O3</w:t>
            </w:r>
          </w:p>
        </w:tc>
        <w:tc>
          <w:tcPr>
            <w:tcW w:type="dxa" w:w="5184"/>
            <w:vAlign w:val="center"/>
          </w:tcPr>
          <w:p>
            <w:r/>
            <w:r>
              <w:rPr>
                <w:rFonts w:ascii="Arial" w:hAnsi="Arial"/>
                <w:b w:val="0"/>
                <w:sz w:val="19"/>
              </w:rPr>
              <w:t>氧化铝。</w:t>
            </w:r>
          </w:p>
        </w:tc>
      </w:tr>
      <w:tr>
        <w:tc>
          <w:tcPr>
            <w:tcW w:type="dxa" w:w="3600"/>
            <w:vAlign w:val="center"/>
          </w:tcPr>
          <w:p>
            <w:r/>
            <w:r>
              <w:rPr>
                <w:rFonts w:ascii="Arial" w:hAnsi="Arial"/>
                <w:b w:val="0"/>
                <w:sz w:val="19"/>
              </w:rPr>
              <w:t>ZnO</w:t>
            </w:r>
          </w:p>
        </w:tc>
        <w:tc>
          <w:tcPr>
            <w:tcW w:type="dxa" w:w="5184"/>
            <w:vAlign w:val="center"/>
          </w:tcPr>
          <w:p>
            <w:r/>
            <w:r>
              <w:rPr>
                <w:rFonts w:ascii="Arial" w:hAnsi="Arial"/>
                <w:b w:val="0"/>
                <w:sz w:val="19"/>
              </w:rPr>
              <w:t>氧化锌。</w:t>
            </w:r>
          </w:p>
        </w:tc>
      </w:tr>
      <w:tr>
        <w:tc>
          <w:tcPr>
            <w:tcW w:type="dxa" w:w="3600"/>
            <w:vAlign w:val="center"/>
          </w:tcPr>
          <w:p>
            <w:r/>
            <w:r>
              <w:rPr>
                <w:rFonts w:ascii="Arial" w:hAnsi="Arial"/>
                <w:b w:val="0"/>
                <w:sz w:val="19"/>
              </w:rPr>
              <w:t>TEM</w:t>
            </w:r>
          </w:p>
        </w:tc>
        <w:tc>
          <w:tcPr>
            <w:tcW w:type="dxa" w:w="5184"/>
            <w:vAlign w:val="center"/>
          </w:tcPr>
          <w:p>
            <w:r/>
            <w:r>
              <w:rPr>
                <w:rFonts w:ascii="Arial" w:hAnsi="Arial"/>
                <w:b w:val="0"/>
                <w:sz w:val="19"/>
              </w:rPr>
              <w:t>Transmission Electron Microscopy，透射电子显微镜。</w:t>
            </w:r>
          </w:p>
        </w:tc>
      </w:tr>
      <w:tr>
        <w:tc>
          <w:tcPr>
            <w:tcW w:type="dxa" w:w="3600"/>
            <w:vAlign w:val="center"/>
          </w:tcPr>
          <w:p>
            <w:r/>
            <w:r>
              <w:rPr>
                <w:rFonts w:ascii="Arial" w:hAnsi="Arial"/>
                <w:b w:val="0"/>
                <w:sz w:val="19"/>
              </w:rPr>
              <w:t>HRTEM</w:t>
            </w:r>
          </w:p>
        </w:tc>
        <w:tc>
          <w:tcPr>
            <w:tcW w:type="dxa" w:w="5184"/>
            <w:vAlign w:val="center"/>
          </w:tcPr>
          <w:p>
            <w:r/>
            <w:r>
              <w:rPr>
                <w:rFonts w:ascii="Arial" w:hAnsi="Arial"/>
                <w:b w:val="0"/>
                <w:sz w:val="19"/>
              </w:rPr>
              <w:t>High-Resolution Transmission Electron Microscopy，高分辨透射电子显微镜。</w:t>
            </w:r>
          </w:p>
        </w:tc>
      </w:tr>
      <w:tr>
        <w:tc>
          <w:tcPr>
            <w:tcW w:type="dxa" w:w="3600"/>
            <w:vAlign w:val="center"/>
          </w:tcPr>
          <w:p>
            <w:r/>
            <w:r>
              <w:rPr>
                <w:rFonts w:ascii="Arial" w:hAnsi="Arial"/>
                <w:b w:val="0"/>
                <w:sz w:val="19"/>
              </w:rPr>
              <w:t>kMC</w:t>
            </w:r>
          </w:p>
        </w:tc>
        <w:tc>
          <w:tcPr>
            <w:tcW w:type="dxa" w:w="5184"/>
            <w:vAlign w:val="center"/>
          </w:tcPr>
          <w:p>
            <w:r/>
            <w:r>
              <w:rPr>
                <w:rFonts w:ascii="Arial" w:hAnsi="Arial"/>
                <w:b w:val="0"/>
                <w:sz w:val="19"/>
              </w:rPr>
              <w:t>kinetic Monte Carlo，动力学蒙特卡洛。</w:t>
            </w:r>
          </w:p>
        </w:tc>
      </w:tr>
      <w:tr>
        <w:tc>
          <w:tcPr>
            <w:tcW w:type="dxa" w:w="3600"/>
            <w:vAlign w:val="center"/>
          </w:tcPr>
          <w:p>
            <w:r/>
            <w:r>
              <w:rPr>
                <w:rFonts w:ascii="Arial" w:hAnsi="Arial"/>
                <w:b w:val="0"/>
                <w:sz w:val="19"/>
              </w:rPr>
              <w:t>FPT</w:t>
            </w:r>
          </w:p>
        </w:tc>
        <w:tc>
          <w:tcPr>
            <w:tcW w:type="dxa" w:w="5184"/>
            <w:vAlign w:val="center"/>
          </w:tcPr>
          <w:p>
            <w:r/>
            <w:r>
              <w:rPr>
                <w:rFonts w:ascii="Arial" w:hAnsi="Arial"/>
                <w:b w:val="0"/>
                <w:sz w:val="19"/>
              </w:rPr>
              <w:t>First Passage Time，首次通过时间。</w:t>
            </w:r>
          </w:p>
        </w:tc>
      </w:tr>
      <w:tr>
        <w:tc>
          <w:tcPr>
            <w:tcW w:type="dxa" w:w="3600"/>
            <w:vAlign w:val="center"/>
          </w:tcPr>
          <w:p>
            <w:r/>
            <w:r>
              <w:rPr>
                <w:rFonts w:ascii="Arial" w:hAnsi="Arial"/>
                <w:b w:val="0"/>
                <w:sz w:val="19"/>
              </w:rPr>
              <w:t>Ptrans(t)</w:t>
            </w:r>
          </w:p>
        </w:tc>
        <w:tc>
          <w:tcPr>
            <w:tcW w:type="dxa" w:w="5184"/>
            <w:vAlign w:val="center"/>
          </w:tcPr>
          <w:p>
            <w:r/>
            <w:r>
              <w:rPr>
                <w:rFonts w:ascii="Arial" w:hAnsi="Arial"/>
                <w:b w:val="0"/>
                <w:sz w:val="19"/>
              </w:rPr>
              <w:t>给定时间或模拟窗口内的穿透概率。</w:t>
            </w:r>
          </w:p>
        </w:tc>
      </w:tr>
      <w:tr>
        <w:tc>
          <w:tcPr>
            <w:tcW w:type="dxa" w:w="3600"/>
            <w:vAlign w:val="center"/>
          </w:tcPr>
          <w:p>
            <w:r/>
            <w:r>
              <w:rPr>
                <w:rFonts w:ascii="Arial" w:hAnsi="Arial"/>
                <w:b w:val="0"/>
                <w:sz w:val="19"/>
              </w:rPr>
              <w:t>Lpath</w:t>
            </w:r>
          </w:p>
        </w:tc>
        <w:tc>
          <w:tcPr>
            <w:tcW w:type="dxa" w:w="5184"/>
            <w:vAlign w:val="center"/>
          </w:tcPr>
          <w:p>
            <w:r/>
            <w:r>
              <w:rPr>
                <w:rFonts w:ascii="Arial" w:hAnsi="Arial"/>
                <w:b w:val="0"/>
                <w:sz w:val="19"/>
              </w:rPr>
              <w:t>水分子累计迁移路径长度。</w:t>
            </w:r>
          </w:p>
        </w:tc>
      </w:tr>
      <w:tr>
        <w:tc>
          <w:tcPr>
            <w:tcW w:type="dxa" w:w="3600"/>
            <w:vAlign w:val="center"/>
          </w:tcPr>
          <w:p>
            <w:r/>
            <w:r>
              <w:rPr>
                <w:rFonts w:ascii="Arial" w:hAnsi="Arial"/>
                <w:b w:val="0"/>
                <w:sz w:val="19"/>
              </w:rPr>
              <w:t>Lfilm</w:t>
            </w:r>
          </w:p>
        </w:tc>
        <w:tc>
          <w:tcPr>
            <w:tcW w:type="dxa" w:w="5184"/>
            <w:vAlign w:val="center"/>
          </w:tcPr>
          <w:p>
            <w:r/>
            <w:r>
              <w:rPr>
                <w:rFonts w:ascii="Arial" w:hAnsi="Arial"/>
                <w:b w:val="0"/>
                <w:sz w:val="19"/>
              </w:rPr>
              <w:t>膜总厚度，本报告中为 10.5 nm。</w:t>
            </w:r>
          </w:p>
        </w:tc>
      </w:tr>
      <w:tr>
        <w:tc>
          <w:tcPr>
            <w:tcW w:type="dxa" w:w="3600"/>
            <w:vAlign w:val="center"/>
          </w:tcPr>
          <w:p>
            <w:r/>
            <w:r>
              <w:rPr>
                <w:rFonts w:ascii="Arial" w:hAnsi="Arial"/>
                <w:b w:val="0"/>
                <w:sz w:val="19"/>
              </w:rPr>
              <w:t>tau</w:t>
            </w:r>
          </w:p>
        </w:tc>
        <w:tc>
          <w:tcPr>
            <w:tcW w:type="dxa" w:w="5184"/>
            <w:vAlign w:val="center"/>
          </w:tcPr>
          <w:p>
            <w:r/>
            <w:r>
              <w:rPr>
                <w:rFonts w:ascii="Arial" w:hAnsi="Arial"/>
                <w:b w:val="0"/>
                <w:sz w:val="19"/>
              </w:rPr>
              <w:t>曲折度，定义为 Lpath / Lfilm。</w:t>
            </w:r>
          </w:p>
        </w:tc>
      </w:tr>
      <w:tr>
        <w:tc>
          <w:tcPr>
            <w:tcW w:type="dxa" w:w="3600"/>
            <w:vAlign w:val="center"/>
          </w:tcPr>
          <w:p>
            <w:r/>
            <w:r>
              <w:rPr>
                <w:rFonts w:ascii="Arial" w:hAnsi="Arial"/>
                <w:b w:val="0"/>
                <w:sz w:val="19"/>
              </w:rPr>
              <w:t>D_eff</w:t>
            </w:r>
          </w:p>
        </w:tc>
        <w:tc>
          <w:tcPr>
            <w:tcW w:type="dxa" w:w="5184"/>
            <w:vAlign w:val="center"/>
          </w:tcPr>
          <w:p>
            <w:r/>
            <w:r>
              <w:rPr>
                <w:rFonts w:ascii="Arial" w:hAnsi="Arial"/>
                <w:b w:val="0"/>
                <w:sz w:val="19"/>
              </w:rPr>
              <w:t>有效扩散系数。</w:t>
            </w:r>
          </w:p>
        </w:tc>
      </w:tr>
      <w:tr>
        <w:tc>
          <w:tcPr>
            <w:tcW w:type="dxa" w:w="3600"/>
            <w:vAlign w:val="center"/>
          </w:tcPr>
          <w:p>
            <w:r/>
            <w:r>
              <w:rPr>
                <w:rFonts w:ascii="Arial" w:hAnsi="Arial"/>
                <w:b w:val="0"/>
                <w:sz w:val="19"/>
              </w:rPr>
              <w:t>WVTR</w:t>
            </w:r>
          </w:p>
        </w:tc>
        <w:tc>
          <w:tcPr>
            <w:tcW w:type="dxa" w:w="5184"/>
            <w:vAlign w:val="center"/>
          </w:tcPr>
          <w:p>
            <w:r/>
            <w:r>
              <w:rPr>
                <w:rFonts w:ascii="Arial" w:hAnsi="Arial"/>
                <w:b w:val="0"/>
                <w:sz w:val="19"/>
              </w:rPr>
              <w:t>Water Vapor Transmission Rate，水汽透过率。</w:t>
            </w:r>
          </w:p>
        </w:tc>
      </w:tr>
      <w:tr>
        <w:tc>
          <w:tcPr>
            <w:tcW w:type="dxa" w:w="3600"/>
            <w:vAlign w:val="center"/>
          </w:tcPr>
          <w:p>
            <w:r/>
            <w:r>
              <w:rPr>
                <w:rFonts w:ascii="Arial" w:hAnsi="Arial"/>
                <w:b w:val="0"/>
                <w:sz w:val="19"/>
              </w:rPr>
              <w:t>delta_C</w:t>
            </w:r>
          </w:p>
        </w:tc>
        <w:tc>
          <w:tcPr>
            <w:tcW w:type="dxa" w:w="5184"/>
            <w:vAlign w:val="center"/>
          </w:tcPr>
          <w:p>
            <w:r/>
            <w:r>
              <w:rPr>
                <w:rFonts w:ascii="Arial" w:hAnsi="Arial"/>
                <w:b w:val="0"/>
                <w:sz w:val="19"/>
              </w:rPr>
              <w:t>水汽浓度差，WVTR 换算中的驱动力项。</w:t>
            </w:r>
          </w:p>
        </w:tc>
      </w:tr>
      <w:tr>
        <w:tc>
          <w:tcPr>
            <w:tcW w:type="dxa" w:w="3600"/>
            <w:vAlign w:val="center"/>
          </w:tcPr>
          <w:p>
            <w:r/>
            <w:r>
              <w:rPr>
                <w:rFonts w:ascii="Arial" w:hAnsi="Arial"/>
                <w:b w:val="0"/>
                <w:sz w:val="19"/>
              </w:rPr>
              <w:t>C1</w:t>
            </w:r>
          </w:p>
        </w:tc>
        <w:tc>
          <w:tcPr>
            <w:tcW w:type="dxa" w:w="5184"/>
            <w:vAlign w:val="center"/>
          </w:tcPr>
          <w:p>
            <w:r/>
            <w:r>
              <w:rPr>
                <w:rFonts w:ascii="Arial" w:hAnsi="Arial"/>
                <w:b w:val="0"/>
                <w:sz w:val="19"/>
              </w:rPr>
              <w:t>文献吸附/溶解水浓度标定值；本报告采用 6.77 kg/m3。</w:t>
            </w:r>
          </w:p>
        </w:tc>
      </w:tr>
      <w:tr>
        <w:tc>
          <w:tcPr>
            <w:tcW w:type="dxa" w:w="3600"/>
            <w:vAlign w:val="center"/>
          </w:tcPr>
          <w:p>
            <w:r/>
            <w:r>
              <w:rPr>
                <w:rFonts w:ascii="Arial" w:hAnsi="Arial"/>
                <w:b w:val="0"/>
                <w:sz w:val="19"/>
              </w:rPr>
              <w:t>RH</w:t>
            </w:r>
          </w:p>
        </w:tc>
        <w:tc>
          <w:tcPr>
            <w:tcW w:type="dxa" w:w="5184"/>
            <w:vAlign w:val="center"/>
          </w:tcPr>
          <w:p>
            <w:r/>
            <w:r>
              <w:rPr>
                <w:rFonts w:ascii="Arial" w:hAnsi="Arial"/>
                <w:b w:val="0"/>
                <w:sz w:val="19"/>
              </w:rPr>
              <w:t>relative humidity，相对湿度。</w:t>
            </w:r>
          </w:p>
        </w:tc>
      </w:tr>
      <w:tr>
        <w:tc>
          <w:tcPr>
            <w:tcW w:type="dxa" w:w="3600"/>
            <w:vAlign w:val="center"/>
          </w:tcPr>
          <w:p>
            <w:r/>
            <w:r>
              <w:rPr>
                <w:rFonts w:ascii="Arial" w:hAnsi="Arial"/>
                <w:b w:val="0"/>
                <w:sz w:val="19"/>
              </w:rPr>
              <w:t>GB</w:t>
            </w:r>
          </w:p>
        </w:tc>
        <w:tc>
          <w:tcPr>
            <w:tcW w:type="dxa" w:w="5184"/>
            <w:vAlign w:val="center"/>
          </w:tcPr>
          <w:p>
            <w:r/>
            <w:r>
              <w:rPr>
                <w:rFonts w:ascii="Arial" w:hAnsi="Arial"/>
                <w:b w:val="0"/>
                <w:sz w:val="19"/>
              </w:rPr>
              <w:t>grain boundary，晶界。</w:t>
            </w:r>
          </w:p>
        </w:tc>
      </w:tr>
      <w:tr>
        <w:tc>
          <w:tcPr>
            <w:tcW w:type="dxa" w:w="3600"/>
            <w:vAlign w:val="center"/>
          </w:tcPr>
          <w:p>
            <w:r/>
            <w:r>
              <w:rPr>
                <w:rFonts w:ascii="Arial" w:hAnsi="Arial"/>
                <w:b w:val="0"/>
                <w:sz w:val="19"/>
              </w:rPr>
              <w:t>interface</w:t>
            </w:r>
          </w:p>
        </w:tc>
        <w:tc>
          <w:tcPr>
            <w:tcW w:type="dxa" w:w="5184"/>
            <w:vAlign w:val="center"/>
          </w:tcPr>
          <w:p>
            <w:r/>
            <w:r>
              <w:rPr>
                <w:rFonts w:ascii="Arial" w:hAnsi="Arial"/>
                <w:b w:val="0"/>
                <w:sz w:val="19"/>
              </w:rPr>
              <w:t>界面层，本报告中特指 Al2O3/ZnO 横向搜索层。</w:t>
            </w:r>
          </w:p>
        </w:tc>
      </w:tr>
      <w:tr>
        <w:tc>
          <w:tcPr>
            <w:tcW w:type="dxa" w:w="3600"/>
            <w:vAlign w:val="center"/>
          </w:tcPr>
          <w:p>
            <w:r/>
            <w:r>
              <w:rPr>
                <w:rFonts w:ascii="Arial" w:hAnsi="Arial"/>
                <w:b w:val="0"/>
                <w:sz w:val="19"/>
              </w:rPr>
              <w:t>eV</w:t>
            </w:r>
          </w:p>
        </w:tc>
        <w:tc>
          <w:tcPr>
            <w:tcW w:type="dxa" w:w="5184"/>
            <w:vAlign w:val="center"/>
          </w:tcPr>
          <w:p>
            <w:r/>
            <w:r>
              <w:rPr>
                <w:rFonts w:ascii="Arial" w:hAnsi="Arial"/>
                <w:b w:val="0"/>
                <w:sz w:val="19"/>
              </w:rPr>
              <w:t>电子伏特，用于迁移能垒。</w:t>
            </w:r>
          </w:p>
        </w:tc>
      </w:tr>
      <w:tr>
        <w:tc>
          <w:tcPr>
            <w:tcW w:type="dxa" w:w="3600"/>
            <w:vAlign w:val="center"/>
          </w:tcPr>
          <w:p>
            <w:r/>
            <w:r>
              <w:rPr>
                <w:rFonts w:ascii="Arial" w:hAnsi="Arial"/>
                <w:b w:val="0"/>
                <w:sz w:val="19"/>
              </w:rPr>
              <w:t>nm</w:t>
            </w:r>
          </w:p>
        </w:tc>
        <w:tc>
          <w:tcPr>
            <w:tcW w:type="dxa" w:w="5184"/>
            <w:vAlign w:val="center"/>
          </w:tcPr>
          <w:p>
            <w:r/>
            <w:r>
              <w:rPr>
                <w:rFonts w:ascii="Arial" w:hAnsi="Arial"/>
                <w:b w:val="0"/>
                <w:sz w:val="19"/>
              </w:rPr>
              <w:t>纳米。</w:t>
            </w:r>
          </w:p>
        </w:tc>
      </w:tr>
      <w:tr>
        <w:tc>
          <w:tcPr>
            <w:tcW w:type="dxa" w:w="3600"/>
            <w:vAlign w:val="center"/>
          </w:tcPr>
          <w:p>
            <w:r/>
            <w:r>
              <w:rPr>
                <w:rFonts w:ascii="Arial" w:hAnsi="Arial"/>
                <w:b w:val="0"/>
                <w:sz w:val="19"/>
              </w:rPr>
              <w:t>mm</w:t>
            </w:r>
          </w:p>
        </w:tc>
        <w:tc>
          <w:tcPr>
            <w:tcW w:type="dxa" w:w="5184"/>
            <w:vAlign w:val="center"/>
          </w:tcPr>
          <w:p>
            <w:r/>
            <w:r>
              <w:rPr>
                <w:rFonts w:ascii="Arial" w:hAnsi="Arial"/>
                <w:b w:val="0"/>
                <w:sz w:val="19"/>
              </w:rPr>
              <w:t>毫米。</w:t>
            </w:r>
          </w:p>
        </w:tc>
      </w:tr>
      <w:tr>
        <w:tc>
          <w:tcPr>
            <w:tcW w:type="dxa" w:w="3600"/>
            <w:vAlign w:val="center"/>
          </w:tcPr>
          <w:p>
            <w:r/>
            <w:r>
              <w:rPr>
                <w:rFonts w:ascii="Arial" w:hAnsi="Arial"/>
                <w:b w:val="0"/>
                <w:sz w:val="19"/>
              </w:rPr>
              <w:t>m2/s</w:t>
            </w:r>
          </w:p>
        </w:tc>
        <w:tc>
          <w:tcPr>
            <w:tcW w:type="dxa" w:w="5184"/>
            <w:vAlign w:val="center"/>
          </w:tcPr>
          <w:p>
            <w:r/>
            <w:r>
              <w:rPr>
                <w:rFonts w:ascii="Arial" w:hAnsi="Arial"/>
                <w:b w:val="0"/>
                <w:sz w:val="19"/>
              </w:rPr>
              <w:t>扩散系数单位。</w:t>
            </w:r>
          </w:p>
        </w:tc>
      </w:tr>
      <w:tr>
        <w:tc>
          <w:tcPr>
            <w:tcW w:type="dxa" w:w="3600"/>
            <w:vAlign w:val="center"/>
          </w:tcPr>
          <w:p>
            <w:r/>
            <w:r>
              <w:rPr>
                <w:rFonts w:ascii="Arial" w:hAnsi="Arial"/>
                <w:b w:val="0"/>
                <w:sz w:val="19"/>
              </w:rPr>
              <w:t>g m^-2 day^-1</w:t>
            </w:r>
          </w:p>
        </w:tc>
        <w:tc>
          <w:tcPr>
            <w:tcW w:type="dxa" w:w="5184"/>
            <w:vAlign w:val="center"/>
          </w:tcPr>
          <w:p>
            <w:r/>
            <w:r>
              <w:rPr>
                <w:rFonts w:ascii="Arial" w:hAnsi="Arial"/>
                <w:b w:val="0"/>
                <w:sz w:val="19"/>
              </w:rPr>
              <w:t>WVTR 单位。</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