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36"/>
        </w:rPr>
        <w:t>Al₂O₃/ZnO 双层薄膜 3D on-lattice kMC 原型验证报告</w:t>
      </w:r>
    </w:p>
    <w:p>
      <w:pPr>
        <w:jc w:val="center"/>
      </w:pPr>
      <w:r>
        <w:t>仓库：/home/xiao/文档/KMC</w:t>
        <w:br/>
        <w:t>分支：main｜代码 checkpoint：36a7acc｜生成日期：2026-05-29</w:t>
      </w:r>
    </w:p>
    <w:p>
      <w:pPr>
        <w:pStyle w:val="Heading1"/>
      </w:pPr>
      <w:r>
        <w:rPr>
          <w:b w:val="0"/>
        </w:rPr>
        <w:t>一、结论摘要</w:t>
      </w:r>
    </w:p>
    <w:p>
      <w:pPr>
        <w:pStyle w:val="ListBullet"/>
      </w:pPr>
      <w:r>
        <w:t>已完成 3D on-lattice Al₂O₃/ZnO 双层薄膜 kMC 原型，不覆盖原 2D 脚本。</w:t>
      </w:r>
    </w:p>
    <w:p>
      <w:pPr>
        <w:pStyle w:val="ListBullet"/>
      </w:pPr>
      <w:r>
        <w:t>真实厚度保持 10.5 nm：4.5 nm Al₂O₃ + 6.0 nm ZnO；dx=0.5 nm 时 z=21 层。</w:t>
      </w:r>
    </w:p>
    <w:p>
      <w:pPr>
        <w:pStyle w:val="ListBullet"/>
      </w:pPr>
      <w:r>
        <w:t>横向 x/y 为二维周期平面；pinhole mask 从 1D 升级为 2D；bulk 迁移从 4 邻域升级为 6 邻域。</w:t>
      </w:r>
    </w:p>
    <w:p>
      <w:pPr>
        <w:pStyle w:val="ListBullet"/>
      </w:pPr>
      <w:r>
        <w:t>smoke 运行与几何单元测试均通过，证明 CUDA JIT、3D 几何、输出链路已打通。</w:t>
      </w:r>
    </w:p>
    <w:p>
      <w:pPr>
        <w:pStyle w:val="ListBullet"/>
      </w:pPr>
      <w:r>
        <w:t>当前 smoke 粒子数和穿透数偏少，只能作为原型验证，不能作为最终 WVTR/扩散系数定量结论。</w:t>
      </w:r>
    </w:p>
    <w:p>
      <w:pPr>
        <w:pStyle w:val="Heading1"/>
      </w:pPr>
      <w:r>
        <w:rPr>
          <w:b w:val="0"/>
        </w:rPr>
        <w:t>二、代码与验证产物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96"/>
          </w:tcPr>
          <w:p>
            <w:r>
              <w:rPr>
                <w:b/>
              </w:rPr>
              <w:t>路径/值</w:t>
            </w:r>
          </w:p>
        </w:tc>
      </w:tr>
      <w:tr>
        <w:tc>
          <w:tcPr>
            <w:tcW w:type="dxa" w:w="4896"/>
            <w:vAlign w:val="center"/>
          </w:tcPr>
          <w:p>
            <w:r>
              <w:t>3D 主脚本</w:t>
            </w:r>
          </w:p>
        </w:tc>
        <w:tc>
          <w:tcPr>
            <w:tcW w:type="dxa" w:w="4896"/>
            <w:vAlign w:val="center"/>
          </w:tcPr>
          <w:p>
            <w:r>
              <w:t>kmc_bilayer_all/kmc_bilayer_3d.py</w:t>
            </w:r>
          </w:p>
        </w:tc>
      </w:tr>
      <w:tr>
        <w:tc>
          <w:tcPr>
            <w:tcW w:type="dxa" w:w="4896"/>
            <w:vAlign w:val="center"/>
          </w:tcPr>
          <w:p>
            <w:r>
              <w:t>3D 几何测试</w:t>
            </w:r>
          </w:p>
        </w:tc>
        <w:tc>
          <w:tcPr>
            <w:tcW w:type="dxa" w:w="4896"/>
            <w:vAlign w:val="center"/>
          </w:tcPr>
          <w:p>
            <w:r>
              <w:t>tests/test_bilayer_3d_geometry.py</w:t>
            </w:r>
          </w:p>
        </w:tc>
      </w:tr>
      <w:tr>
        <w:tc>
          <w:tcPr>
            <w:tcW w:type="dxa" w:w="4896"/>
            <w:vAlign w:val="center"/>
          </w:tcPr>
          <w:p>
            <w:r>
              <w:t>报告输出</w:t>
            </w:r>
          </w:p>
        </w:tc>
        <w:tc>
          <w:tcPr>
            <w:tcW w:type="dxa" w:w="4896"/>
            <w:vAlign w:val="center"/>
          </w:tcPr>
          <w:p>
            <w:r>
              <w:t>kmc_bilayer_all/kmc_bilayer_3d_smoke_plot/Al2O3_ZnO_3D_on_lattice_kMC_原型验证报告.docx</w:t>
            </w:r>
          </w:p>
        </w:tc>
      </w:tr>
      <w:tr>
        <w:tc>
          <w:tcPr>
            <w:tcW w:type="dxa" w:w="4896"/>
            <w:vAlign w:val="center"/>
          </w:tcPr>
          <w:p>
            <w:r>
              <w:t>summary 图</w:t>
            </w:r>
          </w:p>
        </w:tc>
        <w:tc>
          <w:tcPr>
            <w:tcW w:type="dxa" w:w="4896"/>
            <w:vAlign w:val="center"/>
          </w:tcPr>
          <w:p>
            <w:r>
              <w:t>kmc_bilayer_all/kmc_bilayer_3d_smoke_plot/bilayer_3d_summary.png</w:t>
            </w:r>
          </w:p>
        </w:tc>
      </w:tr>
      <w:tr>
        <w:tc>
          <w:tcPr>
            <w:tcW w:type="dxa" w:w="4896"/>
            <w:vAlign w:val="center"/>
          </w:tcPr>
          <w:p>
            <w:r>
              <w:t>git commit</w:t>
            </w:r>
          </w:p>
        </w:tc>
        <w:tc>
          <w:tcPr>
            <w:tcW w:type="dxa" w:w="4896"/>
            <w:vAlign w:val="center"/>
          </w:tcPr>
          <w:p>
            <w:r>
              <w:t>36a7acc</w:t>
            </w:r>
          </w:p>
        </w:tc>
      </w:tr>
    </w:tbl>
    <w:p>
      <w:pPr>
        <w:pStyle w:val="Heading1"/>
      </w:pPr>
      <w:r>
        <w:rPr>
          <w:b w:val="0"/>
        </w:rPr>
        <w:t>三、3D 模型设计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设计项</w:t>
            </w:r>
          </w:p>
        </w:tc>
        <w:tc>
          <w:tcPr>
            <w:tcW w:type="dxa" w:w="4896"/>
          </w:tcPr>
          <w:p>
            <w:r>
              <w:rPr>
                <w:b/>
              </w:rPr>
              <w:t>实现</w:t>
            </w:r>
          </w:p>
        </w:tc>
      </w:tr>
      <w:tr>
        <w:tc>
          <w:tcPr>
            <w:tcW w:type="dxa" w:w="4896"/>
            <w:vAlign w:val="center"/>
          </w:tcPr>
          <w:p>
            <w:r>
              <w:t>网格约定</w:t>
            </w:r>
          </w:p>
        </w:tc>
        <w:tc>
          <w:tcPr>
            <w:tcW w:type="dxa" w:w="4896"/>
            <w:vAlign w:val="center"/>
          </w:tcPr>
          <w:p>
            <w:r>
              <w:t>grid[z, x, y]</w:t>
            </w:r>
          </w:p>
        </w:tc>
      </w:tr>
      <w:tr>
        <w:tc>
          <w:tcPr>
            <w:tcW w:type="dxa" w:w="4896"/>
            <w:vAlign w:val="center"/>
          </w:tcPr>
          <w:p>
            <w:r>
              <w:t>厚度方向</w:t>
            </w:r>
          </w:p>
        </w:tc>
        <w:tc>
          <w:tcPr>
            <w:tcW w:type="dxa" w:w="4896"/>
            <w:vAlign w:val="center"/>
          </w:tcPr>
          <w:p>
            <w:r>
              <w:t>z=21 cells，对应 10.5 nm</w:t>
            </w:r>
          </w:p>
        </w:tc>
      </w:tr>
      <w:tr>
        <w:tc>
          <w:tcPr>
            <w:tcW w:type="dxa" w:w="4896"/>
            <w:vAlign w:val="center"/>
          </w:tcPr>
          <w:p>
            <w:r>
              <w:t>横向边界</w:t>
            </w:r>
          </w:p>
        </w:tc>
        <w:tc>
          <w:tcPr>
            <w:tcW w:type="dxa" w:w="4896"/>
            <w:vAlign w:val="center"/>
          </w:tcPr>
          <w:p>
            <w:r>
              <w:t>x/y 周期边界</w:t>
            </w:r>
          </w:p>
        </w:tc>
      </w:tr>
      <w:tr>
        <w:tc>
          <w:tcPr>
            <w:tcW w:type="dxa" w:w="4896"/>
            <w:vAlign w:val="center"/>
          </w:tcPr>
          <w:p>
            <w:r>
              <w:t>Al₂O₃ matrix</w:t>
            </w:r>
          </w:p>
        </w:tc>
        <w:tc>
          <w:tcPr>
            <w:tcW w:type="dxa" w:w="4896"/>
            <w:vAlign w:val="center"/>
          </w:tcPr>
          <w:p>
            <w:r>
              <w:t>不可渗透，rate=0</w:t>
            </w:r>
          </w:p>
        </w:tc>
      </w:tr>
      <w:tr>
        <w:tc>
          <w:tcPr>
            <w:tcW w:type="dxa" w:w="4896"/>
            <w:vAlign w:val="center"/>
          </w:tcPr>
          <w:p>
            <w:r>
              <w:t>Al₂O₃ pinhole</w:t>
            </w:r>
          </w:p>
        </w:tc>
        <w:tc>
          <w:tcPr>
            <w:tcW w:type="dxa" w:w="4896"/>
            <w:vAlign w:val="center"/>
          </w:tcPr>
          <w:p>
            <w:r>
              <w:t>可迁移通道，E=0.58 eV</w:t>
            </w:r>
          </w:p>
        </w:tc>
      </w:tr>
      <w:tr>
        <w:tc>
          <w:tcPr>
            <w:tcW w:type="dxa" w:w="4896"/>
            <w:vAlign w:val="center"/>
          </w:tcPr>
          <w:p>
            <w:r>
              <w:t>ZnO bulk</w:t>
            </w:r>
          </w:p>
        </w:tc>
        <w:tc>
          <w:tcPr>
            <w:tcW w:type="dxa" w:w="4896"/>
            <w:vAlign w:val="center"/>
          </w:tcPr>
          <w:p>
            <w:r>
              <w:t>不可渗透，rate=0</w:t>
            </w:r>
          </w:p>
        </w:tc>
      </w:tr>
      <w:tr>
        <w:tc>
          <w:tcPr>
            <w:tcW w:type="dxa" w:w="4896"/>
            <w:vAlign w:val="center"/>
          </w:tcPr>
          <w:p>
            <w:r>
              <w:t>ZnO GB</w:t>
            </w:r>
          </w:p>
        </w:tc>
        <w:tc>
          <w:tcPr>
            <w:tcW w:type="dxa" w:w="4896"/>
            <w:vAlign w:val="center"/>
          </w:tcPr>
          <w:p>
            <w:r>
              <w:t>可迁移通道，E=0.72 eV</w:t>
            </w:r>
          </w:p>
        </w:tc>
      </w:tr>
      <w:tr>
        <w:tc>
          <w:tcPr>
            <w:tcW w:type="dxa" w:w="4896"/>
            <w:vAlign w:val="center"/>
          </w:tcPr>
          <w:p>
            <w:r>
              <w:t>interface</w:t>
            </w:r>
          </w:p>
        </w:tc>
        <w:tc>
          <w:tcPr>
            <w:tcW w:type="dxa" w:w="4896"/>
            <w:vAlign w:val="center"/>
          </w:tcPr>
          <w:p>
            <w:r>
              <w:t>允许 lateral search，E=0.62 eV</w:t>
            </w:r>
          </w:p>
        </w:tc>
      </w:tr>
      <w:tr>
        <w:tc>
          <w:tcPr>
            <w:tcW w:type="dxa" w:w="4896"/>
            <w:vAlign w:val="center"/>
          </w:tcPr>
          <w:p>
            <w:r>
              <w:t>surface diffusion</w:t>
            </w:r>
          </w:p>
        </w:tc>
        <w:tc>
          <w:tcPr>
            <w:tcW w:type="dxa" w:w="4896"/>
            <w:vAlign w:val="center"/>
          </w:tcPr>
          <w:p>
            <w:r>
              <w:t>2D 表面随机游走，E=0.45 eV</w:t>
            </w:r>
          </w:p>
        </w:tc>
      </w:tr>
      <w:tr>
        <w:tc>
          <w:tcPr>
            <w:tcW w:type="dxa" w:w="4896"/>
            <w:vAlign w:val="center"/>
          </w:tcPr>
          <w:p>
            <w:r>
              <w:t>ZnO 晶界</w:t>
            </w:r>
          </w:p>
        </w:tc>
        <w:tc>
          <w:tcPr>
            <w:tcW w:type="dxa" w:w="4896"/>
            <w:vAlign w:val="center"/>
          </w:tcPr>
          <w:p>
            <w:r>
              <w:t>2D periodic Voronoi columns + z 方向 wavy shift</w:t>
            </w:r>
          </w:p>
        </w:tc>
      </w:tr>
    </w:tbl>
    <w:p>
      <w:pPr>
        <w:pStyle w:val="Heading1"/>
      </w:pPr>
      <w:r>
        <w:rPr>
          <w:b w:val="0"/>
        </w:rPr>
        <w:t>四、smoke 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</w:rPr>
              <w:t>运行</w:t>
            </w:r>
          </w:p>
        </w:tc>
        <w:tc>
          <w:tcPr>
            <w:tcW w:type="dxa" w:w="1088"/>
          </w:tcPr>
          <w:p>
            <w:r>
              <w:rPr>
                <w:b/>
              </w:rPr>
              <w:t>横向尺寸</w:t>
            </w:r>
          </w:p>
        </w:tc>
        <w:tc>
          <w:tcPr>
            <w:tcW w:type="dxa" w:w="1088"/>
          </w:tcPr>
          <w:p>
            <w:r>
              <w:rPr>
                <w:b/>
              </w:rPr>
              <w:t>particles</w:t>
            </w:r>
          </w:p>
        </w:tc>
        <w:tc>
          <w:tcPr>
            <w:tcW w:type="dxa" w:w="1088"/>
          </w:tcPr>
          <w:p>
            <w:r>
              <w:rPr>
                <w:b/>
              </w:rPr>
              <w:t>max_events</w:t>
            </w:r>
          </w:p>
        </w:tc>
        <w:tc>
          <w:tcPr>
            <w:tcW w:type="dxa" w:w="1088"/>
          </w:tcPr>
          <w:p>
            <w:r>
              <w:rPr>
                <w:b/>
              </w:rPr>
              <w:t>transmitted</w:t>
            </w:r>
          </w:p>
        </w:tc>
        <w:tc>
          <w:tcPr>
            <w:tcW w:type="dxa" w:w="1088"/>
          </w:tcPr>
          <w:p>
            <w:r>
              <w:rPr>
                <w:b/>
              </w:rPr>
              <w:t>Ptrans</w:t>
            </w:r>
          </w:p>
        </w:tc>
        <w:tc>
          <w:tcPr>
            <w:tcW w:type="dxa" w:w="1088"/>
          </w:tcPr>
          <w:p>
            <w:r>
              <w:rPr>
                <w:b/>
              </w:rPr>
              <w:t>mean FPT/s</w:t>
            </w:r>
          </w:p>
        </w:tc>
        <w:tc>
          <w:tcPr>
            <w:tcW w:type="dxa" w:w="1088"/>
          </w:tcPr>
          <w:p>
            <w:r>
              <w:rPr>
                <w:b/>
              </w:rPr>
              <w:t>D_eff/m²s</w:t>
            </w:r>
          </w:p>
        </w:tc>
        <w:tc>
          <w:tcPr>
            <w:tcW w:type="dxa" w:w="1088"/>
          </w:tcPr>
          <w:p>
            <w:r>
              <w:rPr>
                <w:b/>
              </w:rPr>
              <w:t>elapsed/s</w:t>
            </w:r>
          </w:p>
        </w:tc>
      </w:tr>
      <w:tr>
        <w:tc>
          <w:tcPr>
            <w:tcW w:type="dxa" w:w="1088"/>
            <w:vAlign w:val="center"/>
          </w:tcPr>
          <w:p>
            <w:r>
              <w:t>smoke-2k</w:t>
            </w:r>
          </w:p>
        </w:tc>
        <w:tc>
          <w:tcPr>
            <w:tcW w:type="dxa" w:w="1088"/>
            <w:vAlign w:val="center"/>
          </w:tcPr>
          <w:p>
            <w:r>
              <w:t>40.0×40.0 nm</w:t>
            </w:r>
          </w:p>
        </w:tc>
        <w:tc>
          <w:tcPr>
            <w:tcW w:type="dxa" w:w="1088"/>
            <w:vAlign w:val="center"/>
          </w:tcPr>
          <w:p>
            <w:r>
              <w:t>2000</w:t>
            </w:r>
          </w:p>
        </w:tc>
        <w:tc>
          <w:tcPr>
            <w:tcW w:type="dxa" w:w="1088"/>
            <w:vAlign w:val="center"/>
          </w:tcPr>
          <w:p>
            <w:r>
              <w:t>20000</w:t>
            </w:r>
          </w:p>
        </w:tc>
        <w:tc>
          <w:tcPr>
            <w:tcW w:type="dxa" w:w="1088"/>
            <w:vAlign w:val="center"/>
          </w:tcPr>
          <w:p>
            <w:r>
              <w:t>1</w:t>
            </w:r>
          </w:p>
        </w:tc>
        <w:tc>
          <w:tcPr>
            <w:tcW w:type="dxa" w:w="1088"/>
            <w:vAlign w:val="center"/>
          </w:tcPr>
          <w:p>
            <w:r>
              <w:t>5.000e-04</w:t>
            </w:r>
          </w:p>
        </w:tc>
        <w:tc>
          <w:tcPr>
            <w:tcW w:type="dxa" w:w="1088"/>
            <w:vAlign w:val="center"/>
          </w:tcPr>
          <w:p>
            <w:r>
              <w:t>44.87</w:t>
            </w:r>
          </w:p>
        </w:tc>
        <w:tc>
          <w:tcPr>
            <w:tcW w:type="dxa" w:w="1088"/>
            <w:vAlign w:val="center"/>
          </w:tcPr>
          <w:p>
            <w:r>
              <w:t>1.228e-18</w:t>
            </w:r>
          </w:p>
        </w:tc>
        <w:tc>
          <w:tcPr>
            <w:tcW w:type="dxa" w:w="1088"/>
            <w:vAlign w:val="center"/>
          </w:tcPr>
          <w:p>
            <w:r>
              <w:t>0.8355</w:t>
            </w:r>
          </w:p>
        </w:tc>
      </w:tr>
      <w:tr>
        <w:tc>
          <w:tcPr>
            <w:tcW w:type="dxa" w:w="1088"/>
            <w:vAlign w:val="center"/>
          </w:tcPr>
          <w:p>
            <w:r>
              <w:t>smoke-10k</w:t>
            </w:r>
          </w:p>
        </w:tc>
        <w:tc>
          <w:tcPr>
            <w:tcW w:type="dxa" w:w="1088"/>
            <w:vAlign w:val="center"/>
          </w:tcPr>
          <w:p>
            <w:r>
              <w:t>80.0×80.0 nm</w:t>
            </w:r>
          </w:p>
        </w:tc>
        <w:tc>
          <w:tcPr>
            <w:tcW w:type="dxa" w:w="1088"/>
            <w:vAlign w:val="center"/>
          </w:tcPr>
          <w:p>
            <w:r>
              <w:t>10000</w:t>
            </w:r>
          </w:p>
        </w:tc>
        <w:tc>
          <w:tcPr>
            <w:tcW w:type="dxa" w:w="1088"/>
            <w:vAlign w:val="center"/>
          </w:tcPr>
          <w:p>
            <w:r>
              <w:t>80000</w:t>
            </w:r>
          </w:p>
        </w:tc>
        <w:tc>
          <w:tcPr>
            <w:tcW w:type="dxa" w:w="1088"/>
            <w:vAlign w:val="center"/>
          </w:tcPr>
          <w:p>
            <w:r>
              <w:t>43</w:t>
            </w:r>
          </w:p>
        </w:tc>
        <w:tc>
          <w:tcPr>
            <w:tcW w:type="dxa" w:w="1088"/>
            <w:vAlign w:val="center"/>
          </w:tcPr>
          <w:p>
            <w:r>
              <w:t>0.0043</w:t>
            </w:r>
          </w:p>
        </w:tc>
        <w:tc>
          <w:tcPr>
            <w:tcW w:type="dxa" w:w="1088"/>
            <w:vAlign w:val="center"/>
          </w:tcPr>
          <w:p>
            <w:r>
              <w:t>78.04</w:t>
            </w:r>
          </w:p>
        </w:tc>
        <w:tc>
          <w:tcPr>
            <w:tcW w:type="dxa" w:w="1088"/>
            <w:vAlign w:val="center"/>
          </w:tcPr>
          <w:p>
            <w:r>
              <w:t>7.064e-19</w:t>
            </w:r>
          </w:p>
        </w:tc>
        <w:tc>
          <w:tcPr>
            <w:tcW w:type="dxa" w:w="1088"/>
            <w:vAlign w:val="center"/>
          </w:tcPr>
          <w:p>
            <w:r>
              <w:t>2.481</w:t>
            </w:r>
          </w:p>
        </w:tc>
      </w:tr>
      <w:tr>
        <w:tc>
          <w:tcPr>
            <w:tcW w:type="dxa" w:w="1088"/>
            <w:vAlign w:val="center"/>
          </w:tcPr>
          <w:p>
            <w:r>
              <w:t>smoke-plot</w:t>
            </w:r>
          </w:p>
        </w:tc>
        <w:tc>
          <w:tcPr>
            <w:tcW w:type="dxa" w:w="1088"/>
            <w:vAlign w:val="center"/>
          </w:tcPr>
          <w:p>
            <w:r>
              <w:t>60.0×60.0 nm</w:t>
            </w:r>
          </w:p>
        </w:tc>
        <w:tc>
          <w:tcPr>
            <w:tcW w:type="dxa" w:w="1088"/>
            <w:vAlign w:val="center"/>
          </w:tcPr>
          <w:p>
            <w:r>
              <w:t>5000</w:t>
            </w:r>
          </w:p>
        </w:tc>
        <w:tc>
          <w:tcPr>
            <w:tcW w:type="dxa" w:w="1088"/>
            <w:vAlign w:val="center"/>
          </w:tcPr>
          <w:p>
            <w:r>
              <w:t>50000</w:t>
            </w:r>
          </w:p>
        </w:tc>
        <w:tc>
          <w:tcPr>
            <w:tcW w:type="dxa" w:w="1088"/>
            <w:vAlign w:val="center"/>
          </w:tcPr>
          <w:p>
            <w:r>
              <w:t>15</w:t>
            </w:r>
          </w:p>
        </w:tc>
        <w:tc>
          <w:tcPr>
            <w:tcW w:type="dxa" w:w="1088"/>
            <w:vAlign w:val="center"/>
          </w:tcPr>
          <w:p>
            <w:r>
              <w:t>0.003</w:t>
            </w:r>
          </w:p>
        </w:tc>
        <w:tc>
          <w:tcPr>
            <w:tcW w:type="dxa" w:w="1088"/>
            <w:vAlign w:val="center"/>
          </w:tcPr>
          <w:p>
            <w:r>
              <w:t>68.85</w:t>
            </w:r>
          </w:p>
        </w:tc>
        <w:tc>
          <w:tcPr>
            <w:tcW w:type="dxa" w:w="1088"/>
            <w:vAlign w:val="center"/>
          </w:tcPr>
          <w:p>
            <w:r>
              <w:t>8.006e-19</w:t>
            </w:r>
          </w:p>
        </w:tc>
        <w:tc>
          <w:tcPr>
            <w:tcW w:type="dxa" w:w="1088"/>
            <w:vAlign w:val="center"/>
          </w:tcPr>
          <w:p>
            <w:r>
              <w:t>1.326</w:t>
            </w:r>
          </w:p>
        </w:tc>
      </w:tr>
    </w:tbl>
    <w:p>
      <w:pPr>
        <w:pStyle w:val="Heading1"/>
      </w:pPr>
      <w:r>
        <w:rPr>
          <w:b w:val="0"/>
        </w:rPr>
        <w:t>五、几何元数据（smoke-10k）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896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896"/>
            <w:vAlign w:val="center"/>
          </w:tcPr>
          <w:p>
            <w:r>
              <w:t>grid shape (z,x,y)</w:t>
            </w:r>
          </w:p>
        </w:tc>
        <w:tc>
          <w:tcPr>
            <w:tcW w:type="dxa" w:w="4896"/>
            <w:vAlign w:val="center"/>
          </w:tcPr>
          <w:p>
            <w:r>
              <w:t>[21, 160, 160]</w:t>
            </w:r>
          </w:p>
        </w:tc>
      </w:tr>
      <w:tr>
        <w:tc>
          <w:tcPr>
            <w:tcW w:type="dxa" w:w="4896"/>
            <w:vAlign w:val="center"/>
          </w:tcPr>
          <w:p>
            <w:r>
              <w:t>Al₂O₃ cells</w:t>
            </w:r>
          </w:p>
        </w:tc>
        <w:tc>
          <w:tcPr>
            <w:tcW w:type="dxa" w:w="4896"/>
            <w:vAlign w:val="center"/>
          </w:tcPr>
          <w:p>
            <w:r>
              <w:t>9</w:t>
            </w:r>
          </w:p>
        </w:tc>
      </w:tr>
      <w:tr>
        <w:tc>
          <w:tcPr>
            <w:tcW w:type="dxa" w:w="4896"/>
            <w:vAlign w:val="center"/>
          </w:tcPr>
          <w:p>
            <w:r>
              <w:t>ZnO cells</w:t>
            </w:r>
          </w:p>
        </w:tc>
        <w:tc>
          <w:tcPr>
            <w:tcW w:type="dxa" w:w="4896"/>
            <w:vAlign w:val="center"/>
          </w:tcPr>
          <w:p>
            <w:r>
              <w:t>12</w:t>
            </w:r>
          </w:p>
        </w:tc>
      </w:tr>
      <w:tr>
        <w:tc>
          <w:tcPr>
            <w:tcW w:type="dxa" w:w="4896"/>
            <w:vAlign w:val="center"/>
          </w:tcPr>
          <w:p>
            <w:r>
              <w:t>pinhole count</w:t>
            </w:r>
          </w:p>
        </w:tc>
        <w:tc>
          <w:tcPr>
            <w:tcW w:type="dxa" w:w="4896"/>
            <w:vAlign w:val="center"/>
          </w:tcPr>
          <w:p>
            <w:r>
              <w:t>2</w:t>
            </w:r>
          </w:p>
        </w:tc>
      </w:tr>
      <w:tr>
        <w:tc>
          <w:tcPr>
            <w:tcW w:type="dxa" w:w="4896"/>
            <w:vAlign w:val="center"/>
          </w:tcPr>
          <w:p>
            <w:r>
              <w:t>pinhole coverage</w:t>
            </w:r>
          </w:p>
        </w:tc>
        <w:tc>
          <w:tcPr>
            <w:tcW w:type="dxa" w:w="4896"/>
            <w:vAlign w:val="center"/>
          </w:tcPr>
          <w:p>
            <w:r>
              <w:t>0.001016</w:t>
            </w:r>
          </w:p>
        </w:tc>
      </w:tr>
      <w:tr>
        <w:tc>
          <w:tcPr>
            <w:tcW w:type="dxa" w:w="4896"/>
            <w:vAlign w:val="center"/>
          </w:tcPr>
          <w:p>
            <w:r>
              <w:t>Al₂O₃ free-volume defects</w:t>
            </w:r>
          </w:p>
        </w:tc>
        <w:tc>
          <w:tcPr>
            <w:tcW w:type="dxa" w:w="4896"/>
            <w:vAlign w:val="center"/>
          </w:tcPr>
          <w:p>
            <w:r>
              <w:t>18</w:t>
            </w:r>
          </w:p>
        </w:tc>
      </w:tr>
      <w:tr>
        <w:tc>
          <w:tcPr>
            <w:tcW w:type="dxa" w:w="4896"/>
            <w:vAlign w:val="center"/>
          </w:tcPr>
          <w:p>
            <w:r>
              <w:t>ZnO grain count</w:t>
            </w:r>
          </w:p>
        </w:tc>
        <w:tc>
          <w:tcPr>
            <w:tcW w:type="dxa" w:w="4896"/>
            <w:vAlign w:val="center"/>
          </w:tcPr>
          <w:p>
            <w:r>
              <w:t>116</w:t>
            </w:r>
          </w:p>
        </w:tc>
      </w:tr>
      <w:tr>
        <w:tc>
          <w:tcPr>
            <w:tcW w:type="dxa" w:w="4896"/>
            <w:vAlign w:val="center"/>
          </w:tcPr>
          <w:p>
            <w:r>
              <w:t>ZnO GB fraction before blocking</w:t>
            </w:r>
          </w:p>
        </w:tc>
        <w:tc>
          <w:tcPr>
            <w:tcW w:type="dxa" w:w="4896"/>
            <w:vAlign w:val="center"/>
          </w:tcPr>
          <w:p>
            <w:r>
              <w:t>0.2265</w:t>
            </w:r>
          </w:p>
        </w:tc>
      </w:tr>
      <w:tr>
        <w:tc>
          <w:tcPr>
            <w:tcW w:type="dxa" w:w="4896"/>
            <w:vAlign w:val="center"/>
          </w:tcPr>
          <w:p>
            <w:r>
              <w:t>GB block fraction</w:t>
            </w:r>
          </w:p>
        </w:tc>
        <w:tc>
          <w:tcPr>
            <w:tcW w:type="dxa" w:w="4896"/>
            <w:vAlign w:val="center"/>
          </w:tcPr>
          <w:p>
            <w:r>
              <w:t>0.2</w:t>
            </w:r>
          </w:p>
        </w:tc>
      </w:tr>
    </w:tbl>
    <w:p>
      <w:pPr>
        <w:pStyle w:val="Heading1"/>
      </w:pPr>
      <w:r>
        <w:rPr>
          <w:b w:val="0"/>
        </w:rPr>
        <w:t>六、可视化</w:t>
      </w:r>
    </w:p>
    <w:p>
      <w:r>
        <w:drawing>
          <wp:inline xmlns:a="http://schemas.openxmlformats.org/drawingml/2006/main" xmlns:pic="http://schemas.openxmlformats.org/drawingml/2006/picture">
            <wp:extent cx="5669280" cy="4360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ayer_3d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3D 原型 smoke-plot 的 z-x 截面、x-y 截面、2D pinhole mask 与运行摘要。</w:t>
      </w:r>
    </w:p>
    <w:p>
      <w:pPr>
        <w:pStyle w:val="Heading1"/>
      </w:pPr>
      <w:r>
        <w:rPr>
          <w:b w:val="0"/>
        </w:rPr>
        <w:t>七、验证命令</w:t>
      </w:r>
    </w:p>
    <w:p>
      <w:r>
        <w:rPr>
          <w:b w:val="0"/>
        </w:rPr>
        <w:t>几何测试：</w:t>
      </w:r>
    </w:p>
    <w:p>
      <w:r>
        <w:rPr>
          <w:b w:val="0"/>
        </w:rPr>
        <w:t>uv run --with numpy --with numba --with matplotlib --with pytest pytest -q /home/xiao/文档/KMC/tests/test_bilayer_geometry.py /home/xiao/文档/KMC/tests/test_bilayer_3d_geometry.py</w:t>
      </w:r>
    </w:p>
    <w:p>
      <w:r>
        <w:rPr>
          <w:b w:val="0"/>
        </w:rPr>
        <w:t>smoke-10k：</w:t>
      </w:r>
    </w:p>
    <w:p>
      <w:r>
        <w:rPr>
          <w:b w:val="0"/>
        </w:rPr>
        <w:t>uv run --with numpy --with numba --with matplotlib python /home/xiao/文档/KMC/kmc_bilayer_all/kmc_bilayer_3d.py --particles 10000 --max-events 80000 --width-x-nm 80 --width-y-nm 80 --out-dir /home/xiao/文档/KMC/kmc_bilayer_all/kmc_bilayer_3d_smoke_10k --skip-plot</w:t>
      </w:r>
    </w:p>
    <w:p>
      <w:pPr>
        <w:pStyle w:val="Heading1"/>
      </w:pPr>
      <w:r>
        <w:rPr>
          <w:b w:val="0"/>
        </w:rPr>
        <w:t>八、风险与下一步</w:t>
      </w:r>
    </w:p>
    <w:p>
      <w:pPr>
        <w:pStyle w:val="ListBullet"/>
      </w:pPr>
      <w:r>
        <w:t>当前结果是原型 smoke，不建议用于最终物理结论；穿透样本数偏少，统计置信度不足。</w:t>
      </w:r>
    </w:p>
    <w:p>
      <w:pPr>
        <w:pStyle w:val="ListBullet"/>
      </w:pPr>
      <w:r>
        <w:t>下一步应跑更大横向 RVE 和更多 particles，例如 200k particles、≥120–200 nm 横向、多个 seed。</w:t>
      </w:r>
    </w:p>
    <w:p>
      <w:pPr>
        <w:pStyle w:val="ListBullet"/>
      </w:pPr>
      <w:r>
        <w:t>需要用 TEM/AFM 或文献约束 pinhole 面密度、GB 宽度、GB block fraction，否则 WVTR 仍是参数化模拟。</w:t>
      </w:r>
    </w:p>
    <w:p>
      <w:pPr>
        <w:pStyle w:val="ListBullet"/>
      </w:pPr>
      <w:r>
        <w:t>建议保留 2D 与 3D 两套结果：2D 用于快速参数扫描，3D 用于正式三维错配/曲折路径统计。</w:t>
      </w:r>
    </w:p>
    <w:sectPr w:rsidR="00FC693F" w:rsidRPr="0006063C" w:rsidSect="00034616"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Al₂O₃/ZnO 3D on-lattice kMC prototype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