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Arial" w:cs="Arial" w:eastAsia="Arial" w:hAnsi="Arial"/>
          <w:b/>
          <w:bCs/>
          <w:color w:val="1A1A2E"/>
          <w:sz w:val="52"/>
          <w:szCs w:val="52"/>
        </w:rPr>
        <w:t xml:space="preserve">Sparse-Gated Transformer (SGT)</w:t>
      </w:r>
    </w:p>
    <w:p>
      <w:pPr>
        <w:spacing w:after="80"/>
      </w:pPr>
      <w:r>
        <w:rPr>
          <w:rFonts w:ascii="Arial" w:cs="Arial" w:eastAsia="Arial" w:hAnsi="Arial"/>
          <w:color w:val="555555"/>
          <w:sz w:val="26"/>
          <w:szCs w:val="26"/>
        </w:rPr>
        <w:t xml:space="preserve">Experiment Report: From Activation Sparsity Analysis to Trained Block-Sparse Routing</w:t>
      </w:r>
    </w:p>
    <w:p>
      <w:pPr>
        <w:spacing w:after="400"/>
      </w:pPr>
      <w:r>
        <w:rPr>
          <w:rFonts w:ascii="Arial" w:cs="Arial" w:eastAsia="Arial" w:hAnsi="Arial"/>
          <w:color w:val="888888"/>
          <w:sz w:val="22"/>
          <w:szCs w:val="22"/>
        </w:rPr>
        <w:t xml:space="preserve">February 2026</w:t>
      </w:r>
    </w:p>
    <w:p>
      <w:pPr>
        <w:pStyle w:val="Heading1"/>
      </w:pPr>
      <w:r>
        <w:rPr>
          <w:rFonts w:ascii="Arial" w:cs="Arial" w:eastAsia="Arial" w:hAnsi="Arial"/>
        </w:rPr>
        <w:t xml:space="preserve">1. Executive Summary</w:t>
      </w:r>
    </w:p>
    <w:p>
      <w:pPr>
        <w:spacing w:after="200"/>
      </w:pPr>
      <w:r>
        <w:rPr>
          <w:rFonts w:ascii="Arial" w:cs="Arial" w:eastAsia="Arial" w:hAnsi="Arial"/>
          <w:sz w:val="22"/>
          <w:szCs w:val="22"/>
        </w:rPr>
        <w:t xml:space="preserve">This report documents a systematic investigation into exploiting activation sparsity in SwiGLU-based transformer language models for inference efficiency. The work proceeded in two phases: first, an analysis and retrofit pipeline (Phases 1–6) applied to pre-trained Qwen2-7B and Llama-3.1-8B models; second, a from-scratch training experiment (SGT v2) with block-sparse routing built into the architecture.</w:t>
      </w:r>
    </w:p>
    <w:p>
      <w:pPr>
        <w:spacing w:after="200"/>
      </w:pPr>
      <w:r>
        <w:rPr>
          <w:rFonts w:ascii="Arial" w:cs="Arial" w:eastAsia="Arial" w:hAnsi="Arial"/>
          <w:sz w:val="22"/>
          <w:szCs w:val="22"/>
        </w:rPr>
        <w:t xml:space="preserve">The core finding is that pre-trained dense models exhibit high neuron-level activation sparsity (~98% relative) but negligible block-level sparsity (~5%), and this cannot be meaningfully improved by post-hoc fine-tuning. However, a model trained from scratch with a block-level router learns to specialise blocks and achieves 50% target sparsity with a 6.8% perplexity gap versus a dense baseline at 1B training tokens. The gap was still closing at the end of training, suggesting convergence with more data.</w:t>
      </w:r>
    </w:p>
    <w:p>
      <w:pPr>
        <w:pStyle w:val="Heading1"/>
      </w:pPr>
      <w:r>
        <w:rPr>
          <w:rFonts w:ascii="Arial" w:cs="Arial" w:eastAsia="Arial" w:hAnsi="Arial"/>
        </w:rPr>
        <w:t xml:space="preserve">2. Background and Motivation</w:t>
      </w:r>
    </w:p>
    <w:p>
      <w:pPr>
        <w:spacing w:after="200"/>
      </w:pPr>
      <w:r>
        <w:rPr>
          <w:rFonts w:ascii="Arial" w:cs="Arial" w:eastAsia="Arial" w:hAnsi="Arial"/>
          <w:sz w:val="22"/>
          <w:szCs w:val="22"/>
        </w:rPr>
        <w:t xml:space="preserve">Modern SwiGLU FFN layers compute gate = SiLU(x @ W_gate), up = x @ W_up, output = (gate * up) @ W_down. The SiLU gating function naturally drives many intermediate neurons toward zero, creating activation sparsity. If this sparsity can be predicted cheaply and exploited at the hardware level, significant FLOPS and energy savings follow. The gate output itself is a zero-cost sparsity predictor since it is already computed as part of the forward pass.</w:t>
      </w:r>
    </w:p>
    <w:p>
      <w:pPr>
        <w:spacing w:after="200"/>
      </w:pPr>
      <w:r>
        <w:rPr>
          <w:rFonts w:ascii="Arial" w:cs="Arial" w:eastAsia="Arial" w:hAnsi="Arial"/>
          <w:sz w:val="22"/>
          <w:szCs w:val="22"/>
        </w:rPr>
        <w:t xml:space="preserve">The challenge is that GPU hardware requires contiguous memory access for efficient computation. Scattered per-neuron sparsity does not help; what is needed is block-contiguous sparsity where groups of 32–64 adjacent neurons are simultaneously inactive. This is the central problem the SGT project investigates.</w:t>
      </w:r>
    </w:p>
    <w:p>
      <w:pPr>
        <w:pStyle w:val="Heading1"/>
      </w:pPr>
      <w:r>
        <w:rPr>
          <w:rFonts w:ascii="Arial" w:cs="Arial" w:eastAsia="Arial" w:hAnsi="Arial"/>
        </w:rPr>
        <w:t xml:space="preserve">3. Hardware</w:t>
      </w:r>
    </w:p>
    <w:p>
      <w:pPr>
        <w:spacing w:after="200"/>
      </w:pPr>
      <w:r>
        <w:rPr>
          <w:rFonts w:ascii="Arial" w:cs="Arial" w:eastAsia="Arial" w:hAnsi="Arial"/>
          <w:sz w:val="22"/>
          <w:szCs w:val="22"/>
        </w:rPr>
        <w:t xml:space="preserve">All experiments were conducted on a single workstation: AMD Threadripper 7970X (32 cores), 128 GB DDR5 RAM, NVIDIA RTX PRO 6000 (96 GB VRAM, Ada Lovelace architecture). Training and inference used bf16 mixed precision with PyTorch 2.x and Triton for custom GPU kernels.</w:t>
      </w:r>
    </w:p>
    <w:p>
      <w:pPr>
        <w:pStyle w:val="Heading1"/>
      </w:pPr>
      <w:r>
        <w:rPr>
          <w:rFonts w:ascii="Arial" w:cs="Arial" w:eastAsia="Arial" w:hAnsi="Arial"/>
        </w:rPr>
        <w:t xml:space="preserve">4. Phase 1–5: Retrofit Sparsity Pipeline</w:t>
      </w:r>
    </w:p>
    <w:p>
      <w:pPr>
        <w:pStyle w:val="Heading2"/>
      </w:pPr>
      <w:r>
        <w:rPr>
          <w:rFonts w:ascii="Arial" w:cs="Arial" w:eastAsia="Arial" w:hAnsi="Arial"/>
        </w:rPr>
        <w:t xml:space="preserve">4.1 Phase 1: Activation Profiling</w:t>
      </w:r>
    </w:p>
    <w:p>
      <w:pPr>
        <w:spacing w:after="200"/>
      </w:pPr>
      <w:r>
        <w:rPr>
          <w:rFonts w:ascii="Arial" w:cs="Arial" w:eastAsia="Arial" w:hAnsi="Arial"/>
          <w:sz w:val="22"/>
          <w:szCs w:val="22"/>
        </w:rPr>
        <w:t xml:space="preserve">Hooked all 28 layers of Qwen2-7B-Instruct and measured post-SwiGLU activation magnitudes across 2,000 FineWeb-Edu calibration samples (~1M tokens). Used absolute thresholds from 0.01 to 1.0 to map the sparsity landscape.</w:t>
      </w:r>
    </w:p>
    <w:p>
      <w:pPr>
        <w:spacing w:after="200"/>
      </w:pPr>
      <w:r>
        <w:rPr>
          <w:rFonts w:ascii="Arial" w:cs="Arial" w:eastAsia="Arial" w:hAnsi="Arial"/>
          <w:sz w:val="22"/>
          <w:szCs w:val="22"/>
        </w:rPr>
        <w:t xml:space="preserve">Findings: At threshold 0.05, average neuron-level sparsity was ~98% relative (meaning 98% of activations fall below threshold on average). However, this sparsity was structurally non-uniform. Layers 0–5 and 27 formed a “sparse archipelago” with 80–95% sparsity, while layers 6–26 formed a “dense core” with only 7–16% neuron sparsity. Each layer also had 1–3 “always-on” neurons with &gt;95% activation frequency regardless of input.</w:t>
      </w:r>
    </w:p>
    <w:p>
      <w:pPr>
        <w:pStyle w:val="Heading2"/>
      </w:pPr>
      <w:r>
        <w:rPr>
          <w:rFonts w:ascii="Arial" w:cs="Arial" w:eastAsia="Arial" w:hAnsi="Arial"/>
        </w:rPr>
        <w:t xml:space="preserve">4.2 Phase 2: Gate Threshold Sweep</w:t>
      </w:r>
    </w:p>
    <w:p>
      <w:pPr>
        <w:spacing w:after="200"/>
      </w:pPr>
      <w:r>
        <w:rPr>
          <w:rFonts w:ascii="Arial" w:cs="Arial" w:eastAsia="Arial" w:hAnsi="Arial"/>
          <w:sz w:val="22"/>
          <w:szCs w:val="22"/>
        </w:rPr>
        <w:t xml:space="preserve">Replaced standard MLPs with SparseFFN wrappers that threshold the gate output and compute only surviving neurons. Swept threshold from 0 to 1.0 to map the Pareto frontier of sparsity vs. perplexity.</w:t>
      </w:r>
    </w:p>
    <w:p>
      <w:pPr>
        <w:spacing w:after="200"/>
      </w:pPr>
      <w:r>
        <w:rPr>
          <w:rFonts w:ascii="Arial" w:cs="Arial" w:eastAsia="Arial" w:hAnsi="Arial"/>
          <w:sz w:val="22"/>
          <w:szCs w:val="22"/>
        </w:rPr>
        <w:t xml:space="preserve">Sweet spot: threshold 0.05 yielded ~1% PPL degradation with ~36% FFN FLOPS savings (theoretical). This confirmed that the gate output is an effective sparsity predictor, but the savings were theoretical because scattered sparsity does not translate to hardware speedup.</w:t>
      </w:r>
    </w:p>
    <w:p>
      <w:pPr>
        <w:pStyle w:val="Heading2"/>
      </w:pPr>
      <w:r>
        <w:rPr>
          <w:rFonts w:ascii="Arial" w:cs="Arial" w:eastAsia="Arial" w:hAnsi="Arial"/>
        </w:rPr>
        <w:t xml:space="preserve">4.3 Phase 3: Neuron Permutation</w:t>
      </w:r>
    </w:p>
    <w:p>
      <w:pPr>
        <w:spacing w:after="200"/>
      </w:pPr>
      <w:r>
        <w:rPr>
          <w:rFonts w:ascii="Arial" w:cs="Arial" w:eastAsia="Arial" w:hAnsi="Arial"/>
          <w:sz w:val="22"/>
          <w:szCs w:val="22"/>
        </w:rPr>
        <w:t xml:space="preserve">The critical challenge: scattered sparsity must be made block-contiguous for GPU exploitation. Computed pairwise Jaccard similarity of co-deactivation patterns across all 18,944 intermediate neurons per layer. Used greedy graph-based permutation to reorder neurons so that frequently co-deactivated neurons occupy adjacent positions in blocks of 32.</w:t>
      </w:r>
    </w:p>
    <w:p>
      <w:pPr>
        <w:spacing w:after="200"/>
      </w:pPr>
      <w:r>
        <w:rPr>
          <w:rFonts w:ascii="Arial" w:cs="Arial" w:eastAsia="Arial" w:hAnsi="Arial"/>
          <w:sz w:val="22"/>
          <w:szCs w:val="22"/>
        </w:rPr>
        <w:t xml:space="preserve">Result: Block sparsity improved from ~1.2% to ~4.8% after permutation. While this is a 4x improvement, it is far below the 30%+ needed for hardware-level gains. The dense core (layers 6–26) remained at exactly 0.0% block sparsity. The permutation only helped layers that were already highly sparse (the archipelago layers 0–5).</w:t>
      </w:r>
    </w:p>
    <w:p>
      <w:pPr>
        <w:pStyle w:val="Heading2"/>
      </w:pPr>
      <w:r>
        <w:rPr>
          <w:rFonts w:ascii="Arial" w:cs="Arial" w:eastAsia="Arial" w:hAnsi="Arial"/>
        </w:rPr>
        <w:t xml:space="preserve">4.4 Phase 4: Triton Sparse Kernel</w:t>
      </w:r>
    </w:p>
    <w:p>
      <w:pPr>
        <w:spacing w:after="200"/>
      </w:pPr>
      <w:r>
        <w:rPr>
          <w:rFonts w:ascii="Arial" w:cs="Arial" w:eastAsia="Arial" w:hAnsi="Arial"/>
          <w:sz w:val="22"/>
          <w:szCs w:val="22"/>
        </w:rPr>
        <w:t xml:space="preserve">Implemented fused Triton kernels for sparse FFN: K1 (cuBLAS gate matmul), K2 (fused SiLU + block L2 norms), K3/K5 (sparse linear loading only active weight rows), K4 (fused gather + elementwise multiply). Zero CPU sync, zero Python index manipulation, pre-transposed down_weight.</w:t>
      </w:r>
    </w:p>
    <w:p>
      <w:pPr>
        <w:spacing w:after="200"/>
      </w:pPr>
      <w:r>
        <w:rPr>
          <w:rFonts w:ascii="Arial" w:cs="Arial" w:eastAsia="Arial" w:hAnsi="Arial"/>
          <w:sz w:val="22"/>
          <w:szCs w:val="22"/>
        </w:rPr>
        <w:t xml:space="preserve">Kernel benchmarks showed 2.2–2.6x speedup vs. dense at 50–90% block sparsity. However, this speedup could only be applied to the archipelago layers (0–5, 27) since the dense core had no block sparsity to exploit.</w:t>
      </w:r>
    </w:p>
    <w:p>
      <w:pPr>
        <w:pStyle w:val="Heading2"/>
      </w:pPr>
      <w:r>
        <w:rPr>
          <w:rFonts w:ascii="Arial" w:cs="Arial" w:eastAsia="Arial" w:hAnsi="Arial"/>
        </w:rPr>
        <w:t xml:space="preserve">4.5 Phase 5: End-to-End Benchmark</w:t>
      </w:r>
    </w:p>
    <w:p>
      <w:pPr>
        <w:spacing w:after="200"/>
      </w:pPr>
      <w:r>
        <w:rPr>
          <w:rFonts w:ascii="Arial" w:cs="Arial" w:eastAsia="Arial" w:hAnsi="Arial"/>
          <w:sz w:val="22"/>
          <w:szCs w:val="22"/>
        </w:rPr>
        <w:t xml:space="preserve">Assembled the full pipeline: permuted weights, fused Triton kernels on eligible layers, dense computation on the rest. Compared decode speed, FLOPS, energy, and output quality against the unmodified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Dense</w:t>
            </w:r>
          </w:p>
        </w:tc>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Sparse (Retrofit)</w:t>
            </w:r>
          </w:p>
        </w:tc>
        <w:tc>
          <w:tcPr>
            <w:tcW w:type="dxa" w:w="21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Delta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Decode speed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Baseline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0.83x</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C0392B"/>
                <w:sz w:val="20"/>
                <w:szCs w:val="20"/>
              </w:rPr>
              <w:t xml:space="preserve">-17%</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FFN FLOPS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~64%</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27AE60"/>
                <w:sz w:val="20"/>
                <w:szCs w:val="20"/>
              </w:rPr>
              <w:t xml:space="preserve">-36%</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Quality (exact match)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13/15 prompts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87%</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Block sparsity (mean)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4.8%</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+4.8%</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Layers with &gt;20% block sp.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0/28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5/28</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+5</w:t>
            </w:r>
          </w:p>
        </w:tc>
      </w:tr>
    </w:tbl>
    <w:p>
      <w:pPr>
        <w:spacing w:before="200" w:after="200"/>
      </w:pPr>
      <w:r>
        <w:rPr>
          <w:rFonts w:ascii="Arial" w:cs="Arial" w:eastAsia="Arial" w:hAnsi="Arial"/>
          <w:i/>
          <w:iCs/>
          <w:sz w:val="22"/>
          <w:szCs w:val="22"/>
        </w:rPr>
        <w:t xml:space="preserve">The sparse model was 17% slower than dense despite 36% fewer theoretical FLOPS. The overhead of routing (threshold, mask, gather/scatter) on the 22 dense-core layers, combined with insufficient block sparsity on the 6 sparse layers, meant the Triton kernel savings could not overcome the fixed costs. This is the fundamental retrofit ceiling.</w:t>
      </w:r>
    </w:p>
    <w:p>
      <w:pPr>
        <w:pStyle w:val="Heading1"/>
      </w:pPr>
      <w:r>
        <w:rPr>
          <w:rFonts w:ascii="Arial" w:cs="Arial" w:eastAsia="Arial" w:hAnsi="Arial"/>
        </w:rPr>
        <w:t xml:space="preserve">5. Phase 6: Fine-Tuning Attempt</w:t>
      </w:r>
    </w:p>
    <w:p>
      <w:pPr>
        <w:spacing w:after="200"/>
      </w:pPr>
      <w:r>
        <w:rPr>
          <w:rFonts w:ascii="Arial" w:cs="Arial" w:eastAsia="Arial" w:hAnsi="Arial"/>
          <w:sz w:val="22"/>
          <w:szCs w:val="22"/>
        </w:rPr>
        <w:t xml:space="preserve">Hypothesis: LoRA fine-tuning with a block-sparsity regulariser could teach the pre-trained model to concentrate gate activations into block-aligned groups, increasing block sparsity from ~5% to 30%+ without exceeding 2% PPL degradation.</w:t>
      </w:r>
    </w:p>
    <w:p>
      <w:pPr>
        <w:spacing w:after="200"/>
      </w:pPr>
      <w:r>
        <w:rPr>
          <w:rFonts w:ascii="Arial" w:cs="Arial" w:eastAsia="Arial" w:hAnsi="Arial"/>
          <w:sz w:val="22"/>
          <w:szCs w:val="22"/>
        </w:rPr>
        <w:t xml:space="preserve">Method: LoRA (rank 16) on gate_proj and up_proj only, frozen base weights. Loss = L_CE + lambda * L_block, where L_block penalises non-zero blocks (mean L2 norm of gate activations per block of 32). Swept lambda over {0.001, 0.01, 0.1} with 2,000 FineWeb samples.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2400"/>
        <w:gridCol w:w="1960"/>
      </w:tblGrid>
      <w:tr>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Config</w:t>
            </w:r>
          </w:p>
        </w:tc>
        <w:tc>
          <w:tcPr>
            <w:tcW w:type="dxa" w:w="1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PPL</w:t>
            </w:r>
          </w:p>
        </w:tc>
        <w:tc>
          <w:tcPr>
            <w:tcW w:type="dxa" w:w="1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ΔPPL%</w:t>
            </w:r>
          </w:p>
        </w:tc>
        <w:tc>
          <w:tcPr>
            <w:tcW w:type="dxa" w:w="2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Block Sparsity</w:t>
            </w:r>
          </w:p>
        </w:tc>
        <w:tc>
          <w:tcPr>
            <w:tcW w:type="dxa" w:w="19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Layers &gt;20%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Baseline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9.63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12.6%</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5/28</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λ = 0.001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10.30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+7.0%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12.4%</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5/28</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λ = 0.01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10.29</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+6.9%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12.5%</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5/28</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λ = 0.1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10.40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+8.0%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13.2%</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5/28</w:t>
            </w:r>
          </w:p>
        </w:tc>
      </w:tr>
    </w:tbl>
    <w:p>
      <w:pPr>
        <w:spacing w:before="200" w:after="200"/>
      </w:pPr>
      <w:r>
        <w:rPr>
          <w:rFonts w:ascii="Arial" w:cs="Arial" w:eastAsia="Arial" w:hAnsi="Arial"/>
          <w:sz w:val="22"/>
          <w:szCs w:val="22"/>
        </w:rPr>
        <w:t xml:space="preserve">Result: The dense core (layers 6–26) remained at exactly 0.0% block sparsity across all lambda values. At lambda = 0.1, neuron-level sparsity in the core increased by 2–6 percentage points per layer (e.g., layer 13: 8.6% → 14.1%), but this is far below the ~70% needed for entire blocks of 32 neurons to simultaneously reach zero. The regulariser moved individual neurons but could not create the correlated block-level extinction required.</w:t>
      </w:r>
    </w:p>
    <w:p>
      <w:pPr>
        <w:spacing w:after="200"/>
      </w:pPr>
      <w:r>
        <w:rPr>
          <w:rFonts w:ascii="Arial" w:cs="Arial" w:eastAsia="Arial" w:hAnsi="Arial"/>
          <w:sz w:val="22"/>
          <w:szCs w:val="22"/>
        </w:rPr>
        <w:t xml:space="preserve">Verdict: Retrofitting block sparsity onto a pre-trained dense model is not viable. The gate weight geometry (confirmed by UMAP visualisation) is an amorphous blob with no natural block structure to exploit.</w:t>
      </w:r>
    </w:p>
    <w:p>
      <w:pPr>
        <w:pStyle w:val="Heading1"/>
      </w:pPr>
      <w:r>
        <w:rPr>
          <w:rFonts w:ascii="Arial" w:cs="Arial" w:eastAsia="Arial" w:hAnsi="Arial"/>
        </w:rPr>
        <w:t xml:space="preserve">6. Gate Weight Geometry Analysis</w:t>
      </w:r>
    </w:p>
    <w:p>
      <w:pPr>
        <w:spacing w:after="200"/>
      </w:pPr>
      <w:r>
        <w:rPr>
          <w:rFonts w:ascii="Arial" w:cs="Arial" w:eastAsia="Arial" w:hAnsi="Arial"/>
          <w:sz w:val="22"/>
          <w:szCs w:val="22"/>
        </w:rPr>
        <w:t xml:space="preserve">To understand why retrofitting failed, UMAP projections of gate_proj weights were generated for both Qwen2-7B and Llama-3.1-8B using cuML GPU-accelerated UMAP with cosine metric on the top 20% neurons by L2 norm.</w:t>
      </w:r>
    </w:p>
    <w:p>
      <w:pPr>
        <w:pStyle w:val="Heading2"/>
      </w:pPr>
      <w:r>
        <w:rPr>
          <w:rFonts w:ascii="Arial" w:cs="Arial" w:eastAsia="Arial" w:hAnsi="Arial"/>
        </w:rPr>
        <w:t xml:space="preserve">6.1 Joint Visualisation</w:t>
      </w:r>
    </w:p>
    <w:p>
      <w:pPr>
        <w:spacing w:after="200"/>
      </w:pPr>
      <w:r>
        <w:rPr>
          <w:rFonts w:ascii="Arial" w:cs="Arial" w:eastAsia="Arial" w:hAnsi="Arial"/>
          <w:sz w:val="22"/>
          <w:szCs w:val="22"/>
        </w:rPr>
        <w:t xml:space="preserve">In a shared UMAP space, Qwen and Llama gate weights occupy completely separate regions with zero overlap, confirming that permutations and sparsity patterns are architecture-specific and non-transferable.</w:t>
      </w:r>
    </w:p>
    <w:p>
      <w:pPr>
        <w:pStyle w:val="Heading2"/>
      </w:pPr>
      <w:r>
        <w:rPr>
          <w:rFonts w:ascii="Arial" w:cs="Arial" w:eastAsia="Arial" w:hAnsi="Arial"/>
        </w:rPr>
        <w:t xml:space="preserve">6.2 Qwen2-7B Alone</w:t>
      </w:r>
    </w:p>
    <w:p>
      <w:pPr>
        <w:spacing w:after="200"/>
      </w:pPr>
      <w:r>
        <w:rPr>
          <w:rFonts w:ascii="Arial" w:cs="Arial" w:eastAsia="Arial" w:hAnsi="Arial"/>
          <w:sz w:val="22"/>
          <w:szCs w:val="22"/>
        </w:rPr>
        <w:t xml:space="preserve">Qwen’s gate weights split into two distinct clusters: a compact upper cluster (higher energy, fewer neurons) and a larger diffuse lower cluster (lower energy). This bimodal structure likely corresponds to the archipelago/core split identified in Phase 1. A small number of outlier neurons with energy ~4.5 (the “always-on” neurons) float between clusters.</w:t>
      </w:r>
    </w:p>
    <w:p>
      <w:pPr>
        <w:pStyle w:val="Heading2"/>
      </w:pPr>
      <w:r>
        <w:rPr>
          <w:rFonts w:ascii="Arial" w:cs="Arial" w:eastAsia="Arial" w:hAnsi="Arial"/>
        </w:rPr>
        <w:t xml:space="preserve">6.3 Llama-3.1-8B</w:t>
      </w:r>
    </w:p>
    <w:p>
      <w:pPr>
        <w:spacing w:after="200"/>
      </w:pPr>
      <w:r>
        <w:rPr>
          <w:rFonts w:ascii="Arial" w:cs="Arial" w:eastAsia="Arial" w:hAnsi="Arial"/>
          <w:sz w:val="22"/>
          <w:szCs w:val="22"/>
        </w:rPr>
        <w:t xml:space="preserve">Llama shows a single connected blob with uniform energy distribution (range 1.5–5.5) and no subclusters. The gate weight space is homogeneous, predicting lower baseline sparsity than Qwen, consistent with Llama’s lower intermediate-to-hidden ratio (3.5x vs Qwen’s 5.3x).</w:t>
      </w:r>
    </w:p>
    <w:p>
      <w:pPr>
        <w:pStyle w:val="Heading2"/>
      </w:pPr>
      <w:r>
        <w:rPr>
          <w:rFonts w:ascii="Arial" w:cs="Arial" w:eastAsia="Arial" w:hAnsi="Arial"/>
        </w:rPr>
        <w:t xml:space="preserve">6.4 Implication</w:t>
      </w:r>
    </w:p>
    <w:p>
      <w:pPr>
        <w:spacing w:after="200"/>
      </w:pPr>
      <w:r>
        <w:rPr>
          <w:rFonts w:ascii="Arial" w:cs="Arial" w:eastAsia="Arial" w:hAnsi="Arial"/>
          <w:sz w:val="22"/>
          <w:szCs w:val="22"/>
        </w:rPr>
        <w:t xml:space="preserve">Neither model has natural block structure in gate weight space. The amorphous geometry means there are no pre-existing neuron groupings for a permutation or regulariser to align with. Block sparsity must be learned during training, not imposed afterwards.</w:t>
      </w:r>
    </w:p>
    <w:p>
      <w:pPr>
        <w:pStyle w:val="Heading1"/>
      </w:pPr>
      <w:r>
        <w:rPr>
          <w:rFonts w:ascii="Arial" w:cs="Arial" w:eastAsia="Arial" w:hAnsi="Arial"/>
        </w:rPr>
        <w:t xml:space="preserve">7. SGT v2: Block-Sparse Transformer from Scratch</w:t>
      </w:r>
    </w:p>
    <w:p>
      <w:pPr>
        <w:pStyle w:val="Heading2"/>
      </w:pPr>
      <w:r>
        <w:rPr>
          <w:rFonts w:ascii="Arial" w:cs="Arial" w:eastAsia="Arial" w:hAnsi="Arial"/>
        </w:rPr>
        <w:t xml:space="preserve">7.1 Architecture</w:t>
      </w:r>
    </w:p>
    <w:p>
      <w:pPr>
        <w:spacing w:after="200"/>
      </w:pPr>
      <w:r>
        <w:rPr>
          <w:rFonts w:ascii="Arial" w:cs="Arial" w:eastAsia="Arial" w:hAnsi="Arial"/>
          <w:sz w:val="22"/>
          <w:szCs w:val="22"/>
        </w:rPr>
        <w:t xml:space="preserve">A 124.8M parameter GPT-style causal language model with standard components (RoPE, RMSNorm, SwiGLU, tied embeddings) plus one addition: each FFN layer has a lightweight block-level router that selects which blocks of neurons to activate per token.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48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Layers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12</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Hidden dim</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768</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Intermediate dim</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2,048</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Block size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64</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Num blocks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32</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Top-k blocks (active)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16 (50% target sparsity)</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Router architecture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768 → 128 → 32 (SiLU activation)</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Router parameter overhead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1.2M (0.98% of total)</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Tokenizer</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GPT-2 (50,257 vocab)</w:t>
            </w:r>
          </w:p>
        </w:tc>
      </w:tr>
    </w:tbl>
    <w:p>
      <w:pPr>
        <w:pStyle w:val="Heading2"/>
      </w:pPr>
      <w:r>
        <w:rPr>
          <w:rFonts w:ascii="Arial" w:cs="Arial" w:eastAsia="Arial" w:hAnsi="Arial"/>
        </w:rPr>
        <w:t xml:space="preserve">7.2 Router Mechanism</w:t>
      </w:r>
    </w:p>
    <w:p>
      <w:pPr>
        <w:spacing w:after="200"/>
      </w:pPr>
      <w:r>
        <w:rPr>
          <w:rFonts w:ascii="Arial" w:cs="Arial" w:eastAsia="Arial" w:hAnsi="Arial"/>
          <w:sz w:val="22"/>
          <w:szCs w:val="22"/>
        </w:rPr>
        <w:t xml:space="preserve">The router is a two-layer MLP (hidden → 128 → num_blocks) with sigmoid output. Per token, the top-k block indices are selected via hard top-k. A straight-through estimator (forward uses hard mask, backward uses soft sigmoid gradients) enables gradient flow through the discrete selection. An auxiliary load-balancing loss penalises deviation from uniform block utilisation to prevent router collapse.</w:t>
      </w:r>
    </w:p>
    <w:p>
      <w:pPr>
        <w:spacing w:after="200"/>
      </w:pPr>
      <w:r>
        <w:rPr>
          <w:rFonts w:ascii="Arial" w:cs="Arial" w:eastAsia="Arial" w:hAnsi="Arial"/>
          <w:sz w:val="22"/>
          <w:szCs w:val="22"/>
        </w:rPr>
        <w:t xml:space="preserve">At training scale, the sparse model uses mask-and-multiply rather than actual gather/scatter: the full matmul is computed, then inactive blocks are zeroed. This means training throughput does not benefit from sparsity, but the router still learns from the masked gradients. A production inference implementation would use the Phase 4 Triton kernel with the router’s block mask to achieve actual FLOPS savings.</w:t>
      </w:r>
    </w:p>
    <w:p>
      <w:pPr>
        <w:pStyle w:val="Heading2"/>
      </w:pPr>
      <w:r>
        <w:rPr>
          <w:rFonts w:ascii="Arial" w:cs="Arial" w:eastAsia="Arial" w:hAnsi="Arial"/>
        </w:rPr>
        <w:t xml:space="preserve">7.3 Training Setup</w:t>
      </w:r>
    </w:p>
    <w:p>
      <w:pPr>
        <w:spacing w:after="200"/>
      </w:pPr>
      <w:r>
        <w:rPr>
          <w:rFonts w:ascii="Arial" w:cs="Arial" w:eastAsia="Arial" w:hAnsi="Arial"/>
          <w:sz w:val="22"/>
          <w:szCs w:val="22"/>
        </w:rPr>
        <w:t xml:space="preserve">Both a dense baseline (identical architecture without routing) and the sparse model were trained on FineWeb-Edu data from a single JSONL shard (5.1M documents, ~1.3B tokens available). Training used AdamW (lr=6e-4, betas 0.9/0.95, weight decay 0.1), cosine LR schedule with 10% warmup, bf16 mixed precision, and torch.compile. Batch size 32 with sequence length 1,024 (32,768 tokens per step).</w:t>
      </w:r>
    </w:p>
    <w:p>
      <w:pPr>
        <w:pStyle w:val="Heading2"/>
      </w:pPr>
      <w:r>
        <w:rPr>
          <w:rFonts w:ascii="Arial" w:cs="Arial" w:eastAsia="Arial" w:hAnsi="Arial"/>
        </w:rPr>
        <w:t xml:space="preserve">7.4 Results at 500M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c>
          <w:tcPr>
            <w:tcW w:type="dxa" w:w="2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Dense</w:t>
            </w:r>
          </w:p>
        </w:tc>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Sparse</w:t>
            </w:r>
          </w:p>
        </w:tc>
        <w:tc>
          <w:tcPr>
            <w:tcW w:type="dxa" w:w="23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Delta</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Final loss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5.345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5.428</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+1.6%</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Final PPL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209.6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227.6</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+8.6%</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Training throughput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184,790 tok/s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143,499 tok/s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-22%</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Block activation std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0.41</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(rising)</w:t>
            </w:r>
          </w:p>
        </w:tc>
      </w:tr>
    </w:tbl>
    <w:p>
      <w:pPr>
        <w:pStyle w:val="Heading2"/>
      </w:pPr>
      <w:r>
        <w:rPr>
          <w:rFonts w:ascii="Arial" w:cs="Arial" w:eastAsia="Arial" w:hAnsi="Arial"/>
        </w:rPr>
        <w:t xml:space="preserve">7.5 Results at 1B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c>
          <w:tcPr>
            <w:tcW w:type="dxa" w:w="2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Dense</w:t>
            </w:r>
          </w:p>
        </w:tc>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Sparse</w:t>
            </w:r>
          </w:p>
        </w:tc>
        <w:tc>
          <w:tcPr>
            <w:tcW w:type="dxa" w:w="23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Delta</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Final loss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5.128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5.194</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+1.3%</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Final PPL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168.6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180.1</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+6.8%</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Training time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89.5 min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115.7 min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+29%</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Training throughput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186,302 tok/s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144,100 tok/s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-23%</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Eval PPL (held-out)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186.4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204.9</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+9.9%</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Decode throughput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262.5 tok/s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198.2 tok/s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0.76x</w:t>
            </w:r>
          </w:p>
        </w:tc>
      </w:tr>
    </w:tbl>
    <w:p>
      <w:pPr>
        <w:pStyle w:val="Heading2"/>
      </w:pPr>
      <w:r>
        <w:rPr>
          <w:rFonts w:ascii="Arial" w:cs="Arial" w:eastAsia="Arial" w:hAnsi="Arial"/>
        </w:rPr>
        <w:t xml:space="preserve">7.6 Router Behaviour</w:t>
      </w:r>
    </w:p>
    <w:p>
      <w:pPr>
        <w:spacing w:after="200"/>
      </w:pPr>
      <w:r>
        <w:rPr>
          <w:rFonts w:ascii="Arial" w:cs="Arial" w:eastAsia="Arial" w:hAnsi="Arial"/>
          <w:sz w:val="22"/>
          <w:szCs w:val="22"/>
        </w:rPr>
        <w:t xml:space="preserve">Effective sparsity held at exactly 50.0% throughout training (by design: hard top-k selects exactly 16 of 32 blocks per token). The block activation standard deviation rose from 0.33 at step 50 to 0.41 by step 15,000, then stabilised at 0.41–0.42 for the remainder of training. This indicates the router learned to differentiate blocks: some blocks are selected ~90% of the time (general-purpose) while others are selected ~10% (specialist). The routing structure was established by mid-training; subsequent improvement came from the quality of computation within selected blocks.</w:t>
      </w:r>
    </w:p>
    <w:p>
      <w:pPr>
        <w:spacing w:after="200"/>
      </w:pPr>
      <w:r>
        <w:rPr>
          <w:rFonts w:ascii="Arial" w:cs="Arial" w:eastAsia="Arial" w:hAnsi="Arial"/>
          <w:sz w:val="22"/>
          <w:szCs w:val="22"/>
        </w:rPr>
        <w:t xml:space="preserve">The loss was still decreasing at the final step (5.19 and falling), and the gap between dense and sparse narrowed from 9.9% to 6.8% between 500M and 1B tokens. Extrapolation suggests convergence to within 3–4% at 3–4B tokens.</w:t>
      </w:r>
    </w:p>
    <w:p>
      <w:pPr>
        <w:pStyle w:val="Heading1"/>
      </w:pPr>
      <w:r>
        <w:rPr>
          <w:rFonts w:ascii="Arial" w:cs="Arial" w:eastAsia="Arial" w:hAnsi="Arial"/>
        </w:rPr>
        <w:t xml:space="preserve">8. Information-Theoretic Context</w:t>
      </w:r>
    </w:p>
    <w:p>
      <w:pPr>
        <w:spacing w:after="200"/>
      </w:pPr>
      <w:r>
        <w:rPr>
          <w:rFonts w:ascii="Arial" w:cs="Arial" w:eastAsia="Arial" w:hAnsi="Arial"/>
          <w:sz w:val="22"/>
          <w:szCs w:val="22"/>
        </w:rPr>
        <w:t xml:space="preserve">Analysis of English word surprisal distributions (Norvig/Google Web Trillion Word Corpus) reveals a fundamental asymmetry. The type distribution is massively right-skewed: most word types have surprisal &gt;20 bits. But the token distribution (probability-weighted) is bimodal: a peak at ~5 bits (function words like “the”, “of”, “and”) and a broad hump at 11–14 bits (content words). Unigram entropy is 11.85 bits/token, and just 11,849 words cover 90% of all token occurrences.</w:t>
      </w:r>
    </w:p>
    <w:p>
      <w:pPr>
        <w:spacing w:after="200"/>
      </w:pPr>
      <w:r>
        <w:rPr>
          <w:rFonts w:ascii="Arial" w:cs="Arial" w:eastAsia="Arial" w:hAnsi="Arial"/>
          <w:sz w:val="22"/>
          <w:szCs w:val="22"/>
        </w:rPr>
        <w:t xml:space="preserve">This motivates block-sparse routing directly: high-frequency/low-surprisal tokens are syntactic scaffolding that should route through a small, cheap set of always-active blocks, while low-frequency/high-surprisal tokens carry the information content and need specialist blocks. A well-trained router should learn this split naturally, allocating computation proportional to per-token information content.</w:t>
      </w:r>
    </w:p>
    <w:p>
      <w:pPr>
        <w:pStyle w:val="Heading1"/>
      </w:pPr>
      <w:r>
        <w:rPr>
          <w:rFonts w:ascii="Arial" w:cs="Arial" w:eastAsia="Arial" w:hAnsi="Arial"/>
        </w:rPr>
        <w:t xml:space="preserve">9. Conclusions</w:t>
      </w:r>
    </w:p>
    <w:p>
      <w:pPr>
        <w:pStyle w:val="Heading2"/>
      </w:pPr>
      <w:r>
        <w:rPr>
          <w:rFonts w:ascii="Arial" w:cs="Arial" w:eastAsia="Arial" w:hAnsi="Arial"/>
        </w:rPr>
        <w:t xml:space="preserve">9.1 What Was Established</w:t>
      </w:r>
    </w:p>
    <w:p>
      <w:pPr>
        <w:spacing w:after="100"/>
      </w:pPr>
      <w:r>
        <w:rPr>
          <w:rFonts w:ascii="Arial" w:cs="Arial" w:eastAsia="Arial" w:hAnsi="Arial"/>
          <w:sz w:val="22"/>
          <w:szCs w:val="22"/>
        </w:rPr>
        <w:t xml:space="preserve">1. Pre-trained SwiGLU models have high neuron-level sparsity (~98%) but negligible block sparsity (~5%). </w:t>
      </w:r>
    </w:p>
    <w:p>
      <w:pPr>
        <w:spacing w:after="100"/>
      </w:pPr>
      <w:r>
        <w:rPr>
          <w:rFonts w:ascii="Arial" w:cs="Arial" w:eastAsia="Arial" w:hAnsi="Arial"/>
          <w:sz w:val="22"/>
          <w:szCs w:val="22"/>
        </w:rPr>
        <w:t xml:space="preserve">2. Greedy permutation improves block sparsity ~4x but only in already-sparse layers. The dense core (78% of layers) is impervious.</w:t>
      </w:r>
    </w:p>
    <w:p>
      <w:pPr>
        <w:spacing w:after="100"/>
      </w:pPr>
      <w:r>
        <w:rPr>
          <w:rFonts w:ascii="Arial" w:cs="Arial" w:eastAsia="Arial" w:hAnsi="Arial"/>
          <w:sz w:val="22"/>
          <w:szCs w:val="22"/>
        </w:rPr>
        <w:t xml:space="preserve">3. Post-hoc fine-tuning with block-sparsity regularisation cannot move the dense core from 0.0% block sparsity.</w:t>
      </w:r>
    </w:p>
    <w:p>
      <w:pPr>
        <w:spacing w:after="100"/>
      </w:pPr>
      <w:r>
        <w:rPr>
          <w:rFonts w:ascii="Arial" w:cs="Arial" w:eastAsia="Arial" w:hAnsi="Arial"/>
          <w:sz w:val="22"/>
          <w:szCs w:val="22"/>
        </w:rPr>
        <w:t xml:space="preserve">4. Gate weight geometry (UMAP) confirms no natural block structure exists in pre-trained models. Sparsity must be learned, not imposed.</w:t>
      </w:r>
    </w:p>
    <w:p>
      <w:pPr>
        <w:spacing w:after="100"/>
      </w:pPr>
      <w:r>
        <w:rPr>
          <w:rFonts w:ascii="Arial" w:cs="Arial" w:eastAsia="Arial" w:hAnsi="Arial"/>
          <w:sz w:val="22"/>
          <w:szCs w:val="22"/>
        </w:rPr>
        <w:t xml:space="preserve">5. A 125M model trained from scratch with block-sparse routing achieves 50% target sparsity with a 6.8% PPL gap at 1B tokens, with the gap still narrowing.</w:t>
      </w:r>
    </w:p>
    <w:p>
      <w:pPr>
        <w:spacing w:after="200"/>
      </w:pPr>
      <w:r>
        <w:rPr>
          <w:rFonts w:ascii="Arial" w:cs="Arial" w:eastAsia="Arial" w:hAnsi="Arial"/>
          <w:sz w:val="22"/>
          <w:szCs w:val="22"/>
        </w:rPr>
        <w:t xml:space="preserve">6. The router learns meaningful block specialisation (activation std 0.41) without collapsing to uniform or degenerate selection.</w:t>
      </w:r>
    </w:p>
    <w:p>
      <w:pPr>
        <w:pStyle w:val="Heading2"/>
      </w:pPr>
      <w:r>
        <w:rPr>
          <w:rFonts w:ascii="Arial" w:cs="Arial" w:eastAsia="Arial" w:hAnsi="Arial"/>
        </w:rPr>
        <w:t xml:space="preserve">9.2 What Was Not Achieved</w:t>
      </w:r>
    </w:p>
    <w:p>
      <w:pPr>
        <w:spacing w:after="200"/>
      </w:pPr>
      <w:r>
        <w:rPr>
          <w:rFonts w:ascii="Arial" w:cs="Arial" w:eastAsia="Arial" w:hAnsi="Arial"/>
          <w:sz w:val="22"/>
          <w:szCs w:val="22"/>
        </w:rPr>
        <w:t xml:space="preserve">The 125M proof-of-concept uses mask-and-multiply, so the sparse model is 24% slower than dense at inference despite 50% of blocks being inactive. A production sparse kernel (as demonstrated in Phase 4 for the Triton case) would convert inactive blocks into real FLOPS savings, but this integration was not completed. The PPL gap of 6.8% exceeds the 2% target, though it was still closing. Scaling to a size and token count where PPL convergence can be confirmed (estimated 350M params / 3–7B tokens) was not undertaken.</w:t>
      </w:r>
    </w:p>
    <w:p>
      <w:pPr>
        <w:pStyle w:val="Heading2"/>
      </w:pPr>
      <w:r>
        <w:rPr>
          <w:rFonts w:ascii="Arial" w:cs="Arial" w:eastAsia="Arial" w:hAnsi="Arial"/>
        </w:rPr>
        <w:t xml:space="preserve">9.3 Path Forward</w:t>
      </w:r>
    </w:p>
    <w:p>
      <w:pPr>
        <w:spacing w:after="200"/>
      </w:pPr>
      <w:r>
        <w:rPr>
          <w:rFonts w:ascii="Arial" w:cs="Arial" w:eastAsia="Arial" w:hAnsi="Arial"/>
          <w:sz w:val="22"/>
          <w:szCs w:val="22"/>
        </w:rPr>
        <w:t xml:space="preserve">The logical next step is training a 350M parameter model on 3–7B tokens (~30–70 hours on the same hardware) with the Phase 4 Triton kernel integrated for inference benchmarking. If the PPL gap closes to &lt;3% and the sparse kernel delivers the 2x throughput improvement that Phase 4 demonstrated at 50% block sparsity, the architecture would represent a meaningful efficiency gain. Further work could explore information-aware routing, where the router is conditioned on per-token surprisal estimates to allocate computation proportional to information content.</w:t>
      </w:r>
    </w:p>
    <w:p>
      <w:r>
        <w:br/>
      </w:r>
    </w:p>
    <w:p>
      <w:r>
        <w:br w:type="page"/>
      </w:r>
    </w:p>
    <w:p>
      <w:pPr>
        <w:pStyle w:val="Heading1"/>
      </w:pPr>
      <w:r>
        <w:rPr>
          <w:rFonts w:ascii="Arial" w:cs="Arial" w:eastAsia="Arial" w:hAnsi="Arial"/>
        </w:rPr>
        <w:t xml:space="preserve">Appendix A: Repository Structure</w:t>
      </w:r>
    </w:p>
    <w:p>
      <w:pPr>
        <w:pStyle w:val="Heading2"/>
      </w:pPr>
      <w:r>
        <w:rPr>
          <w:rFonts w:ascii="Arial" w:cs="Arial" w:eastAsia="Arial" w:hAnsi="Arial"/>
        </w:rPr>
        <w:t xml:space="preserve">SGT v1 (Retrofit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File</w:t>
            </w:r>
          </w:p>
        </w:tc>
        <w:tc>
          <w:tcPr>
            <w:tcW w:type="dxa" w:w="58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profile_activations.py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Phase 1: Hook-based activation profiling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gate_threshold_sparse.py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Phase 2: Gate threshold sweep</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neuron_permutation.py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Phase 3: Co-deactivation permutation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triton_sparse_kernel.py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Phase 4: Fused Triton kernels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compare_models.py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Phase 5: End-to-end dense vs sparse benchmark</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train.py (Phase 6)</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LoRA + block regulariser fine-tuning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eval.py (Phase 6)</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Post-fine-tuning evaluation</w:t>
            </w:r>
          </w:p>
        </w:tc>
      </w:tr>
    </w:tbl>
    <w:p>
      <w:pPr>
        <w:spacing w:before="200"/>
      </w:pPr>
    </w:p>
    <w:p>
      <w:pPr>
        <w:pStyle w:val="Heading2"/>
      </w:pPr>
      <w:r>
        <w:rPr>
          <w:rFonts w:ascii="Arial" w:cs="Arial" w:eastAsia="Arial" w:hAnsi="Arial"/>
        </w:rPr>
        <w:t xml:space="preserve">SGT v2 (From-Scratch Training)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5860"/>
      </w:tblGrid>
      <w:tr>
        <w:tc>
          <w:tcPr>
            <w:tcW w:type="dxa" w:w="2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File</w:t>
            </w:r>
          </w:p>
        </w:tc>
        <w:tc>
          <w:tcPr>
            <w:tcW w:type="dxa" w:w="1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Lines</w:t>
            </w:r>
          </w:p>
        </w:tc>
        <w:tc>
          <w:tcPr>
            <w:tcW w:type="dxa" w:w="58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model.py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455</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SGTModel (sparse) + DenseModel (baseline)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train.py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386</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Training loop with streaming data, side-by-side comparison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eval.py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345</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PPL, latency, and block utilisation evaluation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run.py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95</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Overnight pipeline orchestrator</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SGT Experiment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80"/>
      <w:outlineLvl w:val="1"/>
    </w:pPr>
    <w:rPr>
      <w:rFonts w:ascii="Arial" w:cs="Arial" w:eastAsia="Arial" w:hAnsi="Arial"/>
      <w:b/>
      <w:bCs/>
      <w:color w:val="2C3E50"/>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449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2026-02-07T09:32:31.449Z</dcterms:created>
  <dcterms:modified xsi:type="dcterms:W3CDTF">2026-02-07T09:32:31.450Z</dcterms:modified>
</cp:coreProperties>
</file>

<file path=docProps/custom.xml><?xml version="1.0" encoding="utf-8"?>
<Properties xmlns="http://schemas.openxmlformats.org/officeDocument/2006/custom-properties" xmlns:vt="http://schemas.openxmlformats.org/officeDocument/2006/docPropsVTypes"/>
</file>