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A5276"/>
          <w:spacing w:val="80"/>
          <w:sz w:val="36"/>
          <w:szCs w:val="36"/>
        </w:rPr>
        <w:t xml:space="preserve">MAYKE DE FREITAS SANTOS</w:t>
      </w:r>
    </w:p>
    <w:p>
      <w:pPr>
        <w:tabs>
          <w:tab w:val="left" w:pos="2800"/>
          <w:tab w:val="left" w:pos="5600"/>
        </w:tabs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Cambridge, UK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maykef.info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1A5276"/>
          <w:sz w:val="20"/>
          <w:szCs w:val="20"/>
        </w:rPr>
        <w:t xml:space="preserve">LinkedIn: /in/mayke-santos-755960360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A5276"/>
          <w:spacing w:val="60"/>
          <w:sz w:val="22"/>
          <w:szCs w:val="22"/>
        </w:rPr>
        <w:t xml:space="preserve">PROFILE</w:t>
      </w:r>
    </w:p>
    <w:p>
      <w:pPr>
        <w:pBdr>
          <w:bottom w:val="single" w:color="1A5276" w:sz="6" w:space="1"/>
        </w:pBdr>
        <w:spacing w:after="200" w:before="120"/>
      </w:pP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Procurement strategist with deep expertise in complex scientific and technical categories, built through senior roles at the University of Cambridge. Designed and led category strategies across £11M in annual spend, delivered £25M+ in high-value tenders, and built supplier frameworks from greenfield across imaging, optics, and laboratory gases. Unusually, I understand the science behind what I buy: I have hands-on experience with the instruments, the data they generate, and the infrastructure needed to process it. This enables faster market analysis, sharper supplier evaluation, and better outcomes for technically demanding clients.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A5276"/>
          <w:spacing w:val="60"/>
          <w:sz w:val="22"/>
          <w:szCs w:val="22"/>
        </w:rPr>
        <w:t xml:space="preserve">KEY ACHIEVEMENTS</w:t>
      </w:r>
    </w:p>
    <w:p>
      <w:pPr>
        <w:pBdr>
          <w:bottom w:val="single" w:color="1A5276" w:sz="6" w:space="1"/>
        </w:pBdr>
        <w:spacing w:after="20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Delivered £220K early savings (2%) across laboratory equipment categories by aggregating spend and centralising supplier relationships — with a roadmap to a further 5%.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14+ high-value tenders totalling £25M+, including Wind Tunnel (£3M), Rotating Rig (£3M), Lab Equipment (£750K), and AV Systems (£1.2M) for world-class research facilities.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Designed and administered the University of Cambridge Laboratory Confocal Microscope Framework — a pre-agreed supplier structure that reduced procurement burden on research staff across multiple departments.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long-term category strategies for Laboratory Gases (£2M), Optics (£5M), and Imaging (£4M) from scratch in a greenfield procurement environment.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Negotiated major contracts in technically sensitive categories including lab gases (£3.2M) and specialist rotating equipment (£3M) with zero prior frameworks in place.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A5276"/>
          <w:spacing w:val="60"/>
          <w:sz w:val="22"/>
          <w:szCs w:val="22"/>
        </w:rPr>
        <w:t xml:space="preserve">PROFESSIONAL EXPERIENCE</w:t>
      </w:r>
    </w:p>
    <w:p>
      <w:pPr>
        <w:pBdr>
          <w:bottom w:val="single" w:color="1A5276" w:sz="6" w:space="1"/>
        </w:pBdr>
        <w:spacing w:after="200" w:before="120"/>
      </w:pP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Category Manager — Laboratory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 2023 – Present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University of Cambridge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Lead strategic procurement for three specialist categories with £11M combined annual spend, partnering directly with scientists, professors, and research infrastructure teams.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Developed long-term category strategies for Imaging (£4M), Optics (£5M), and Laboratory Gases (£2M) — establishing market intelligence, supplier landscapes, and multi-year sourcing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Co-created and administered the Confocal Microscope Framework Agreement, streamlining access for research teams and embedding pre-negotiated commercial terms across the supplier 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Achieved 2% category-wide cost savings by centralising demand and aggregating supplier relationships; identified pathway to further 5%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Produced advanced spend analytics and market visualisations using Python — enabling data-driven category decisions beyond standard procurement reporting.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Embedded as a trusted advisor to scientific stakeholders — translating complex technical requirements into commercial strategy and supplier briefs.</w:t>
      </w: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Project Buyer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Aug 2021 – Mar 2023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University of Cambridge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end-to-end procurement for major capital and infrastructure projects across Science, Engineering, Chemistry, and Physics faculties.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14+ tenders valued at £25M+, including the UK National Centre for Propulsion and Power (Whittle Laboratory) and the New Atria Building (Heart &amp; Lung Institute).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Negotiated contracts across technically complex categories: Wind Tunnel (£3M), Rotating Rig (£3M), Lab Gases (£3.2M), Lab Equipment (£750K), AV Systems (£1.2M).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Built relationships with academic and scientific stakeholders to translate research requirements into fit-for-purpose procurement specifications.</w:t>
      </w: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Procurement Specialist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Feb 2021 – Jul 2021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NHS Collaborative Procurement Hub — East of England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Supported procurement across FM, ICT, and clinical categories; contributed to the rollout of three major procurement frameworks.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bid evaluation and tendering processes reporting to the Head of Corporate Services.</w:t>
      </w: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Contracts &amp; Performance Officer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Jan 2020 – Jan 2021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Mayor’s Office for Policing and Crime (MOPAC)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complex contract administration and supplier performance monitoring for major public sector contracts.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Delivered process improvements saving approximately 300 staff hours through optimised contract and PO procedures.</w:t>
      </w: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Contracts Assistant (NPPV3)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Mar 2019 – Dec 2019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Bedfordshire Police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ICT procurement and contract management for critical police technology systems (£20M annual budget).</w:t>
      </w: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Procurement Manager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Sep 2017 – Feb 2019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Agrosight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Led international procurement for product development; negotiated contracts with UK and Chinese manufacturers.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Achieved £400K+ in cost savings and secured initial contracts with Brazilian customers.</w:t>
      </w: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Consultant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Jul 2016 – Sep 2016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UNEP-WCMC</w:t>
      </w:r>
    </w:p>
    <w:p>
      <w:pPr>
        <w:tabs>
          <w:tab w:val="right" w:pos="9360"/>
        </w:tabs>
        <w:spacing w:after="40" w:before="200"/>
      </w:pPr>
      <w:r>
        <w:rPr>
          <w:rFonts w:ascii="Arial" w:cs="Arial" w:eastAsia="Arial" w:hAnsi="Arial"/>
          <w:b/>
          <w:bCs/>
          <w:color w:val="1C1C1C"/>
          <w:sz w:val="22"/>
          <w:szCs w:val="22"/>
        </w:rPr>
        <w:t xml:space="preserve">Project Manager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Jan 2010 – Jul 2015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1A5276"/>
          <w:sz w:val="20"/>
          <w:szCs w:val="20"/>
        </w:rPr>
        <w:t xml:space="preserve">Oro Verde — Die Tropenwaldstiftung</w:t>
      </w: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Managed international conservation programmes across South America. Led cross-border stakeholder engagement, grant management, and project delivery in complex, low-resource environments.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A5276"/>
          <w:spacing w:val="60"/>
          <w:sz w:val="22"/>
          <w:szCs w:val="22"/>
        </w:rPr>
        <w:t xml:space="preserve">TECHNICAL CAPABILITY</w:t>
      </w:r>
    </w:p>
    <w:p>
      <w:pPr>
        <w:pBdr>
          <w:bottom w:val="single" w:color="1A5276" w:sz="6" w:space="1"/>
        </w:pBdr>
        <w:spacing w:after="200" w:before="120"/>
      </w:pPr>
    </w:p>
    <w:p>
      <w:p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Alongside procurement work, I maintain active research and engineering projects in inference efficiency and scientific imaging infrastructure — areas directly relevant to technology and life sciences procurement mandates.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Python data analysis (Pandas, Matplotlib, Plotly) — used in production for spend analytics, category reporting, and supplier market modelling.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Scientific imaging infrastructure: designed and built processing pipelines for 200GB+ Zeiss confocal datasets (OME-Zarr, parallel stitching, NVMe-optimised I/O).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LLM inference research: developed forge-edge, a Shannon-grounded inference optimisation system achieving 1.18× speedup on 14B parameter models with zero quality degradation.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Operates a local HPC workstation (Threadripper 7970X, RTX PRO 6000 96GB, 96TB ZFS) — practical familiarity with the infrastructure procurement clients in research and deep tech are acquiring.</w:t>
      </w:r>
    </w:p>
    <w:p>
      <w:pPr>
        <w:spacing w:after="0" w:before="300"/>
      </w:pPr>
      <w:r>
        <w:rPr>
          <w:rFonts w:ascii="Arial" w:cs="Arial" w:eastAsia="Arial" w:hAnsi="Arial"/>
          <w:b/>
          <w:bCs/>
          <w:color w:val="1A5276"/>
          <w:spacing w:val="60"/>
          <w:sz w:val="22"/>
          <w:szCs w:val="22"/>
        </w:rPr>
        <w:t xml:space="preserve">QUALIFICATIONS &amp; EDUCATION</w:t>
      </w:r>
    </w:p>
    <w:p>
      <w:pPr>
        <w:pBdr>
          <w:bottom w:val="single" w:color="1A5276" w:sz="6" w:space="1"/>
        </w:pBdr>
        <w:spacing w:after="2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3560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CIPS Level 4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Chartered Institute of Procurement &amp; Supply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Masters in Conservation Leadership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University of Cambridge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LLM in International Environmental Law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SOAS – University of London</w:t>
            </w:r>
          </w:p>
        </w:tc>
      </w:tr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Degree in Law</w:t>
            </w:r>
          </w:p>
        </w:tc>
        <w:tc>
          <w:tcPr>
            <w:tcW w:type="dxa" w:w="3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Universidad Santa María, Venezuela</w:t>
            </w:r>
          </w:p>
        </w:tc>
      </w:tr>
    </w:tbl>
    <w:sectPr>
      <w:pgSz w:w="11906" w:h="16838" w:orient="portrait"/>
      <w:pgMar w:top="1100" w:right="1270" w:bottom="11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2026-03-14T09:32:41.181Z</dcterms:created>
  <dcterms:modified xsi:type="dcterms:W3CDTF">2026-03-14T09:32:41.182Z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