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4D2D9" w14:textId="5E4F8A5E" w:rsidR="001A1D9E" w:rsidRDefault="00AE7F68">
      <w:pPr>
        <w:rPr>
          <w:lang w:val="es-CR"/>
        </w:rPr>
      </w:pPr>
      <w:r>
        <w:rPr>
          <w:lang w:val="es-CR"/>
        </w:rPr>
        <w:t>1—</w:t>
      </w:r>
    </w:p>
    <w:p w14:paraId="6C0EF568" w14:textId="6C50FD8B" w:rsidR="00AE7F68" w:rsidRDefault="00AE7F68">
      <w:pPr>
        <w:rPr>
          <w:lang w:val="es-CR"/>
        </w:rPr>
      </w:pPr>
      <w:r>
        <w:rPr>
          <w:lang w:val="es-CR"/>
        </w:rPr>
        <w:t xml:space="preserve">Lo mejor </w:t>
      </w:r>
      <w:proofErr w:type="spellStart"/>
      <w:r>
        <w:rPr>
          <w:lang w:val="es-CR"/>
        </w:rPr>
        <w:t>seria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Bare</w:t>
      </w:r>
      <w:proofErr w:type="spellEnd"/>
      <w:r>
        <w:rPr>
          <w:lang w:val="es-CR"/>
        </w:rPr>
        <w:t xml:space="preserve"> Metal ya que elimina el </w:t>
      </w:r>
      <w:proofErr w:type="spellStart"/>
      <w:r>
        <w:rPr>
          <w:lang w:val="es-CR"/>
        </w:rPr>
        <w:t>overhead</w:t>
      </w:r>
      <w:proofErr w:type="spellEnd"/>
      <w:r>
        <w:rPr>
          <w:lang w:val="es-CR"/>
        </w:rPr>
        <w:t xml:space="preserve"> del hipervisor y que los datos financieros sensibles se benefician del aislamiento total</w:t>
      </w:r>
    </w:p>
    <w:p w14:paraId="4FBDFB90" w14:textId="4668AF0F" w:rsidR="00AE7F68" w:rsidRDefault="00AE7F68">
      <w:pPr>
        <w:rPr>
          <w:lang w:val="es-CR"/>
        </w:rPr>
      </w:pPr>
    </w:p>
    <w:p w14:paraId="3910B3EF" w14:textId="14B80BA3" w:rsidR="00AE7F68" w:rsidRDefault="00AE7F68">
      <w:pPr>
        <w:rPr>
          <w:lang w:val="es-CR"/>
        </w:rPr>
      </w:pPr>
      <w:r>
        <w:rPr>
          <w:lang w:val="es-CR"/>
        </w:rPr>
        <w:t>2—</w:t>
      </w:r>
    </w:p>
    <w:p w14:paraId="2D5C75F9" w14:textId="360157E6" w:rsidR="00AE7F68" w:rsidRDefault="00AE7F68">
      <w:pPr>
        <w:rPr>
          <w:lang w:val="es-CR"/>
        </w:rPr>
      </w:pPr>
      <w:r>
        <w:rPr>
          <w:lang w:val="es-CR"/>
        </w:rPr>
        <w:t xml:space="preserve">Contenedor ya que debido a los picos de trafico exige escalado horizontal y los contenedores permiten escalar en segundos sin reconfiguración manual </w:t>
      </w:r>
    </w:p>
    <w:p w14:paraId="26EB4339" w14:textId="2A7EB3E8" w:rsidR="00AE7F68" w:rsidRDefault="00AE7F68">
      <w:pPr>
        <w:rPr>
          <w:lang w:val="es-CR"/>
        </w:rPr>
      </w:pPr>
    </w:p>
    <w:p w14:paraId="59C888B9" w14:textId="31AE6CB0" w:rsidR="00AE7F68" w:rsidRDefault="00AE7F68">
      <w:pPr>
        <w:rPr>
          <w:lang w:val="es-CR"/>
        </w:rPr>
      </w:pPr>
      <w:r>
        <w:rPr>
          <w:lang w:val="es-CR"/>
        </w:rPr>
        <w:t>3—</w:t>
      </w:r>
    </w:p>
    <w:p w14:paraId="1C996872" w14:textId="52A80BC6" w:rsidR="00AE7F68" w:rsidRPr="00AE7F68" w:rsidRDefault="00AE7F68">
      <w:pPr>
        <w:rPr>
          <w:lang w:val="es-CR"/>
        </w:rPr>
      </w:pPr>
      <w:r>
        <w:rPr>
          <w:lang w:val="es-CR"/>
        </w:rPr>
        <w:t>Contenedor en este caso es lo mas adecuado por el tipo de servicio, los equipos independientes pueden hacer despliegues sin afectar los demás servicios</w:t>
      </w:r>
      <w:bookmarkStart w:id="0" w:name="_GoBack"/>
      <w:bookmarkEnd w:id="0"/>
    </w:p>
    <w:sectPr w:rsidR="00AE7F68" w:rsidRPr="00AE7F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8E"/>
    <w:rsid w:val="001A1D9E"/>
    <w:rsid w:val="00284E8E"/>
    <w:rsid w:val="003325E4"/>
    <w:rsid w:val="00AE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B483"/>
  <w15:chartTrackingRefBased/>
  <w15:docId w15:val="{08D1C6AC-2BD0-4842-8B07-434F3B75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2026-05-26T15:58:00Z</dcterms:created>
  <dcterms:modified xsi:type="dcterms:W3CDTF">2026-05-26T16:04:00Z</dcterms:modified>
</cp:coreProperties>
</file>