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FB5976" w14:textId="57740DCA" w:rsidR="0042064F" w:rsidRDefault="0042064F">
      <w:pPr>
        <w:rPr>
          <w:lang w:val="es-CR"/>
        </w:rPr>
      </w:pPr>
      <w:r>
        <w:rPr>
          <w:lang w:val="es-CR"/>
        </w:rPr>
        <w:t>A—</w:t>
      </w:r>
    </w:p>
    <w:p w14:paraId="1A41F4B3" w14:textId="60E4A010" w:rsidR="0042064F" w:rsidRDefault="0042064F">
      <w:pPr>
        <w:rPr>
          <w:lang w:val="es-CR"/>
        </w:rPr>
      </w:pPr>
      <w:r>
        <w:rPr>
          <w:lang w:val="es-CR"/>
        </w:rPr>
        <w:t>La galería pasa a tener una sola columna y se activa cuando la pantalla es de 599px de ancho o menos</w:t>
      </w:r>
    </w:p>
    <w:p w14:paraId="3DDD7E5F" w14:textId="77777777" w:rsidR="0042064F" w:rsidRDefault="0042064F">
      <w:pPr>
        <w:rPr>
          <w:lang w:val="es-CR"/>
        </w:rPr>
      </w:pPr>
    </w:p>
    <w:p w14:paraId="7904D2DC" w14:textId="16F341E6" w:rsidR="0042064F" w:rsidRDefault="0042064F">
      <w:pPr>
        <w:rPr>
          <w:lang w:val="es-CR"/>
        </w:rPr>
      </w:pPr>
      <w:r>
        <w:rPr>
          <w:lang w:val="es-CR"/>
        </w:rPr>
        <w:t>B—</w:t>
      </w:r>
    </w:p>
    <w:p w14:paraId="78F3E4B6" w14:textId="7797246B" w:rsidR="0042064F" w:rsidRDefault="0042064F">
      <w:pPr>
        <w:rPr>
          <w:lang w:val="es-CR"/>
        </w:rPr>
      </w:pPr>
      <w:r>
        <w:rPr>
          <w:lang w:val="es-CR"/>
        </w:rPr>
        <w:t xml:space="preserve">Muestra el elemento </w:t>
      </w:r>
      <w:proofErr w:type="spellStart"/>
      <w:r>
        <w:rPr>
          <w:lang w:val="es-CR"/>
        </w:rPr>
        <w:t>aside</w:t>
      </w:r>
      <w:proofErr w:type="spellEnd"/>
      <w:r>
        <w:rPr>
          <w:lang w:val="es-CR"/>
        </w:rPr>
        <w:t xml:space="preserve"> como bloque display, se activa cuando la pantalla es de 768px o mas de ancho y está</w:t>
      </w:r>
      <w:bookmarkStart w:id="0" w:name="_GoBack"/>
      <w:bookmarkEnd w:id="0"/>
      <w:r>
        <w:rPr>
          <w:lang w:val="es-CR"/>
        </w:rPr>
        <w:t xml:space="preserve"> en horizontal</w:t>
      </w:r>
    </w:p>
    <w:p w14:paraId="7C42B5E4" w14:textId="77777777" w:rsidR="0042064F" w:rsidRDefault="0042064F">
      <w:pPr>
        <w:rPr>
          <w:lang w:val="es-CR"/>
        </w:rPr>
      </w:pPr>
    </w:p>
    <w:p w14:paraId="19706B58" w14:textId="646D037F" w:rsidR="0042064F" w:rsidRDefault="0042064F">
      <w:pPr>
        <w:rPr>
          <w:lang w:val="es-CR"/>
        </w:rPr>
      </w:pPr>
      <w:r>
        <w:rPr>
          <w:lang w:val="es-CR"/>
        </w:rPr>
        <w:t>C—</w:t>
      </w:r>
    </w:p>
    <w:p w14:paraId="6464F8B8" w14:textId="619F068A" w:rsidR="0042064F" w:rsidRPr="0042064F" w:rsidRDefault="0042064F">
      <w:pPr>
        <w:rPr>
          <w:lang w:val="es-CR"/>
        </w:rPr>
      </w:pPr>
      <w:r>
        <w:rPr>
          <w:lang w:val="es-CR"/>
        </w:rPr>
        <w:t xml:space="preserve">Oculta la navegación, pie de pagina y los anuncios, se activa cuando la pagina se imprime o se muestra la vista previa de impresión </w:t>
      </w:r>
    </w:p>
    <w:sectPr w:rsidR="0042064F" w:rsidRPr="004206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47B"/>
    <w:rsid w:val="001A1D9E"/>
    <w:rsid w:val="0027647B"/>
    <w:rsid w:val="003325E4"/>
    <w:rsid w:val="00420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01D5B"/>
  <w15:chartTrackingRefBased/>
  <w15:docId w15:val="{1E0D6EC3-EF82-4A6B-BD21-C0C889378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56</Words>
  <Characters>313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2</cp:revision>
  <dcterms:created xsi:type="dcterms:W3CDTF">2026-06-16T16:53:00Z</dcterms:created>
  <dcterms:modified xsi:type="dcterms:W3CDTF">2026-06-16T17:02:00Z</dcterms:modified>
</cp:coreProperties>
</file>