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927D" w14:textId="77777777" w:rsidR="00710E30" w:rsidRPr="00710E30" w:rsidRDefault="00710E30" w:rsidP="00710E30">
      <w:pPr>
        <w:spacing w:after="100"/>
        <w:jc w:val="center"/>
        <w:rPr>
          <w:rFonts w:ascii="Arial MT" w:hAnsi="Arial MT"/>
          <w:b/>
          <w:bCs/>
          <w:sz w:val="36"/>
          <w:szCs w:val="36"/>
        </w:rPr>
      </w:pPr>
      <w:r w:rsidRPr="00462E9A">
        <w:rPr>
          <w:rFonts w:ascii="Arial MT" w:hAnsi="Arial MT"/>
          <w:noProof/>
          <w:sz w:val="8"/>
          <w:szCs w:val="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209FA6" wp14:editId="5CE99A9E">
                <wp:simplePos x="0" y="0"/>
                <wp:positionH relativeFrom="column">
                  <wp:posOffset>4509595</wp:posOffset>
                </wp:positionH>
                <wp:positionV relativeFrom="paragraph">
                  <wp:posOffset>109</wp:posOffset>
                </wp:positionV>
                <wp:extent cx="161925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94DB9E" w14:textId="0AEE0B35" w:rsidR="00710E30" w:rsidRPr="00462E9A" w:rsidRDefault="00710E30" w:rsidP="00710E3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62E9A"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462E9A">
                              <w:rPr>
                                <w:b/>
                                <w:bCs/>
                              </w:rPr>
                              <w:t xml:space="preserve"> de Octubre del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209FA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355.1pt;margin-top:0;width:127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" filled="f" stroked="f">
                <v:textbox style="mso-fit-shape-to-text:t">
                  <w:txbxContent>
                    <w:p w14:paraId="0894DB9E" w14:textId="0AEE0B35" w:rsidR="00710E30" w:rsidRPr="00462E9A" w:rsidRDefault="00710E30" w:rsidP="00710E30">
                      <w:pPr>
                        <w:rPr>
                          <w:b/>
                          <w:bCs/>
                        </w:rPr>
                      </w:pPr>
                      <w:r w:rsidRPr="00462E9A">
                        <w:rPr>
                          <w:b/>
                          <w:bCs/>
                        </w:rPr>
                        <w:t>6</w:t>
                      </w:r>
                      <w:r w:rsidRPr="00462E9A">
                        <w:rPr>
                          <w:b/>
                          <w:bCs/>
                        </w:rPr>
                        <w:t xml:space="preserve"> de Octubre del 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62E9A">
        <w:rPr>
          <w:rFonts w:ascii="Arial MT" w:hAnsi="Arial MT"/>
          <w:b/>
          <w:bCs/>
          <w:sz w:val="36"/>
          <w:szCs w:val="36"/>
        </w:rPr>
        <w:t>ETIMET CIA. LTDA</w:t>
      </w:r>
      <w:r>
        <w:rPr>
          <w:rFonts w:ascii="Arial MT" w:hAnsi="Arial MT"/>
          <w:b/>
          <w:bCs/>
          <w:sz w:val="36"/>
          <w:szCs w:val="36"/>
        </w:rPr>
        <w:t>.</w:t>
      </w:r>
    </w:p>
    <w:p>
      <w:pPr>
        <w:spacing w:after="40"/>
        <w:jc w:val="center"/>
      </w:pPr>
      <w:r>
        <w:rPr>
          <w:rFonts w:ascii="Arial" w:hAnsi="Arial" w:cs="Arial"/>
          <w:b/>
          <w:color w:val="000000"/>
          <w:sz w:val="26"/>
          <w:szCs w:val="26"/>
        </w:rPr>
        <w:t xml:space="preserve">INFORME DE REVISIÓN: MÓDULO DE QUEJAS Y RECLAMOS</w:t>
      </w:r>
      <w:r>
        <w:rPr>
          <w:rFonts w:ascii="Arial" w:hAnsi="Arial" w:cs="Arial"/>
          <w:color w:val="000000"/>
          <w:sz w:val="26"/>
          <w:szCs w:val="26"/>
        </w:rPr>
        <w:t xml:space="preserve"/>
      </w:r>
    </w:p>
    <w:p>
      <w:pPr>
        <w:spacing w:after="160"/>
        <w:jc w:val="center"/>
      </w:pPr>
      <w:r>
        <w:rPr>
          <w:rFonts w:ascii="Arial" w:hAnsi="Arial" w:cs="Arial"/>
          <w:color w:val="000000"/>
          <w:sz w:val="19"/>
          <w:szCs w:val="19"/>
        </w:rPr>
        <w:t xml:space="preserve">Dirigido a: Gerencia  ·  Elaborado por: Calidad  ·  Quito, 6 de octubre de 2026</w:t>
      </w:r>
    </w:p>
    <w:p>
      <w:pPr>
        <w:keepNext/>
        <w:spacing w:before="160" w:after="80"/>
      </w:pPr>
      <w:r>
        <w:rPr>
          <w:rFonts w:ascii="Arial" w:hAnsi="Arial" w:cs="Arial"/>
          <w:b/>
          <w:color w:val="000000"/>
          <w:sz w:val="23"/>
          <w:szCs w:val="23"/>
        </w:rPr>
        <w:t xml:space="preserve">1. OBJETIVO</w:t>
      </w:r>
    </w:p>
    <w:p>
      <w:pPr>
        <w:spacing w:after="100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Informar el resultado de la revisión que hizo Calidad a la propuesta de Sistemas para el nuevo Módulo de Quejas y Reclamos (documento y prototipo del 1 de octubre de 2026): qué se mantiene, qué se ajusta y qué se agrega, antes de iniciar el desarrollo.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000000"/>
          <w:sz w:val="23"/>
          <w:szCs w:val="23"/>
        </w:rPr>
        <w:t xml:space="preserve">2. RESUMEN</w:t>
      </w:r>
    </w:p>
    <w:p>
      <w:pPr>
        <w:spacing w:after="40"/>
        <w:ind w:left="426" w:hanging="284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•  </w:t>
      </w:r>
      <w:r>
        <w:rPr>
          <w:rFonts w:ascii="Arial" w:hAnsi="Arial" w:cs="Arial"/>
          <w:b/>
          <w:color w:val="000000"/>
          <w:sz w:val="21"/>
          <w:szCs w:val="21"/>
        </w:rPr>
        <w:t xml:space="preserve">Aprobado: </w:t>
      </w:r>
      <w:r>
        <w:rPr>
          <w:rFonts w:ascii="Arial" w:hAnsi="Arial" w:cs="Arial"/>
          <w:color w:val="000000"/>
          <w:sz w:val="21"/>
          <w:szCs w:val="21"/>
        </w:rPr>
        <w:t xml:space="preserve">Calidad aprueba la base de Sistemas: se respetan los acuerdos de la reunión del 30 de septiembre y los tres estados del ticket. No se elimina ningún paso.</w:t>
      </w:r>
    </w:p>
    <w:p>
      <w:pPr>
        <w:spacing w:after="40"/>
        <w:ind w:left="426" w:hanging="284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•  </w:t>
      </w:r>
      <w:r>
        <w:rPr>
          <w:rFonts w:ascii="Arial" w:hAnsi="Arial" w:cs="Arial"/>
          <w:b/>
          <w:color w:val="000000"/>
          <w:sz w:val="21"/>
          <w:szCs w:val="21"/>
        </w:rPr>
        <w:t xml:space="preserve">Cambios: </w:t>
      </w:r>
      <w:r>
        <w:rPr>
          <w:rFonts w:ascii="Arial" w:hAnsi="Arial" w:cs="Arial"/>
          <w:color w:val="000000"/>
          <w:sz w:val="21"/>
          <w:szCs w:val="21"/>
        </w:rPr>
        <w:t xml:space="preserve">se solicitan 25 cambios (19 de prioridad alta, 5 media y 1 baja). Los principales: área responsable del análisis, visita técnica, Informe de No Conformidad de Calidad y foto obligatoria de la etiqueta de trazabilidad.</w:t>
      </w:r>
    </w:p>
    <w:p>
      <w:pPr>
        <w:spacing w:after="40"/>
        <w:ind w:left="426" w:hanging="284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•  </w:t>
      </w:r>
      <w:r>
        <w:rPr>
          <w:rFonts w:ascii="Arial" w:hAnsi="Arial" w:cs="Arial"/>
          <w:b/>
          <w:color w:val="000000"/>
          <w:sz w:val="21"/>
          <w:szCs w:val="21"/>
        </w:rPr>
        <w:t xml:space="preserve">Flujo: </w:t>
      </w:r>
      <w:r>
        <w:rPr>
          <w:rFonts w:ascii="Arial" w:hAnsi="Arial" w:cs="Arial"/>
          <w:color w:val="000000"/>
          <w:sz w:val="21"/>
          <w:szCs w:val="21"/>
        </w:rPr>
        <w:t xml:space="preserve">de los 11 pasos de Sistemas, 6 quedan iguales y 5 se ajustan; se agregan 5 pasos nuevos.</w:t>
      </w:r>
    </w:p>
    <w:p>
      <w:pPr>
        <w:spacing w:after="40"/>
        <w:ind w:left="426" w:hanging="284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•  </w:t>
      </w:r>
      <w:r>
        <w:rPr>
          <w:rFonts w:ascii="Arial" w:hAnsi="Arial" w:cs="Arial"/>
          <w:b/>
          <w:color w:val="000000"/>
          <w:sz w:val="21"/>
          <w:szCs w:val="21"/>
        </w:rPr>
        <w:t xml:space="preserve">Plazo: </w:t>
      </w:r>
      <w:r>
        <w:rPr>
          <w:rFonts w:ascii="Arial" w:hAnsi="Arial" w:cs="Arial"/>
          <w:color w:val="000000"/>
          <w:sz w:val="21"/>
          <w:szCs w:val="21"/>
        </w:rPr>
        <w:t xml:space="preserve">se requiere difundir y aplicar el módulo durante octubre de 2026.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000000"/>
          <w:sz w:val="23"/>
          <w:szCs w:val="23"/>
        </w:rPr>
        <w:t xml:space="preserve">3. LO QUE SE MANTIENE IGUAL</w:t>
      </w:r>
    </w:p>
    <w:p>
      <w:pPr>
        <w:spacing w:after="100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Ingreso por número de factura (u OP) con búsqueda manual de la OP cuando la factura no la trae; fecha, lote, descripción y fecha de fabricación tomados del sistema; todos los campos obligatorios; evidencias en fotos, videos y PDF; dos tipos de rechazo (de cierre y por devolución); catálogo de motivos de rechazo administrado por Calidad; ciclo Recibido → En análisis → Cerrado; alcance de calidad, logística y producción, sin Flexipack; e integración con la API de Taurus.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000000"/>
          <w:sz w:val="23"/>
          <w:szCs w:val="23"/>
        </w:rPr>
        <w:t xml:space="preserve">4. CAMBIOS QUE SE SOLICITAN</w:t>
      </w:r>
    </w:p>
    <w:p>
      <w:pPr>
        <w:spacing w:after="60"/>
        <w:jc w:val="both"/>
      </w:pPr>
      <w:r>
        <w:rPr>
          <w:rFonts w:ascii="Arial" w:hAnsi="Arial" w:cs="Arial"/>
          <w:color w:val="000000"/>
          <w:sz w:val="19"/>
          <w:szCs w:val="19"/>
        </w:rPr>
        <w:t xml:space="preserve">Alta: necesario para salir a producción. Media: si el tiempo lo permite. Baja: mejora posterior.</w:t>
      </w:r>
    </w:p>
    <w:tbl>
      <w:tblPr>
        <w:tblW w:w="8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20"/>
        <w:gridCol w:w="3450"/>
        <w:gridCol w:w="3434"/>
        <w:gridCol w:w="1000"/>
      </w:tblGrid>
      <w:tr>
        <w:trPr>
          <w:tblHeader/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N°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Cambio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Para qué sirve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b/>
                <w:color w:val="000000"/>
                <w:sz w:val="17"/>
                <w:szCs w:val="17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C01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Fecha del reporte del cliente y canal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Medir bien el plazo de la política.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C02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Contacto del cliente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Pedir información y enviar la respuesta.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C03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Control automático del plazo de la política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Detectar reclamos fuera de plazo al ingresar.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C04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Tipo de defecto desde un catálogo por área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Obtener el Pareto de defectos.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C05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Situación del material y solicitud del cliente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Saber qué pide el cliente desde el inicio.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C06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Antecedentes del cliente y del producto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Detectar reincidencias.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C07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Datos de producción de la OP visibles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Ver máquina, operador, metros y lote de materia prima.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C08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Corrección completa del ingreso al devolver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Evitar tickets duplicados por errores.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C09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Motivo de devolución desde catálogo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Medir la calidad del ingreso por asesor.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C10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Definición de queja y reclamo, y severidad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Clasificar igual y priorizar lo crítico.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C11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Área responsable y fecha compromiso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Definir quién analiza y hasta cuándo.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C12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Rol de área responsable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Que el área registre su análisis.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C13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Causa raíz estructurada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Análisis comparables (5 porqués, 6M).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C14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Acciones correctivas con responsable y fecha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Seguimiento de acciones (ISO 9001, 10.2).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C15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Solución al cliente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Dejar registrada la solución dada al cliente.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C16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Verificación de eficacia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Confirmar que el problema no se repite.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C17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Informe de No Conformidad de Calidad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Respuesta formal de Calidad al cliente.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C18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Días abiertos y semáforo de plazo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Ver lo vencido de un vistazo.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C19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Notificaciones a todos y por correo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Avisos automáticos a cada responsable.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C20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Bandeja con columnas y filtros por columna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Buscar por cliente, OP, lote, asesor y más.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C21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Reportes por período y Pareto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Indicadores mensuales para la gestión.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C22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Parámetros y catálogos editables por Calidad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Ajustes sin pedir cambios a Sistemas.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C23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Anular y reabrir con motivo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Corregir errores y atender apelaciones.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C24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Visita técnica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Registrar visitas y hallazgos en el ticket.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62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C25</w:t>
            </w:r>
          </w:p>
        </w:tc>
        <w:tc>
          <w:tcPr>
            <w:tcW w:w="3450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Foto obligatoria de la etiqueta de trazabilidad</w:t>
            </w:r>
          </w:p>
        </w:tc>
        <w:tc>
          <w:tcPr>
            <w:tcW w:w="3434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Confirmar OP y lote sin volver a pedirla.</w:t>
            </w:r>
          </w:p>
        </w:tc>
        <w:tc>
          <w:tcPr>
            <w:tcW w:w="1000" w:type="dxa"/>
            <w:tcMar>
              <w:left w:w="70" w:type="dxa"/>
              <w:right w:w="7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 xml:space="preserve">Alta</w:t>
            </w:r>
          </w:p>
        </w:tc>
      </w:tr>
    </w:tbl>
    <w:p>
      <w:pPr>
        <w:keepNext/>
        <w:spacing w:before="160" w:after="80"/>
      </w:pPr>
      <w:r>
        <w:rPr>
          <w:rFonts w:ascii="Arial" w:hAnsi="Arial" w:cs="Arial"/>
          <w:b/>
          <w:color w:val="000000"/>
          <w:sz w:val="23"/>
          <w:szCs w:val="23"/>
        </w:rPr>
        <w:t xml:space="preserve">5. FLUJO</w:t>
      </w:r>
    </w:p>
    <w:p>
      <w:pPr>
        <w:spacing w:after="100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Se mantienen las dos decisiones de Calidad (¿la información está completa? y ¿procede?) y los estados del ticket. Se agrega el área responsable como actor del análisis; antes del análisis, Calidad decide si se requiere visita técnica; y el cierre pasa por el Informe de No Conformidad y la verificación de eficacia. Única diferencia de orden: la categorización (queja o reclamo) se hace después de decidir que procede, no antes. El diagrama se adjunta por separado.</w:t>
      </w:r>
    </w:p>
    <w:p>
      <w:pPr>
        <w:keepNext/>
        <w:spacing w:before="160" w:after="80"/>
      </w:pPr>
      <w:r>
        <w:rPr>
          <w:rFonts w:ascii="Arial" w:hAnsi="Arial" w:cs="Arial"/>
          <w:b/>
          <w:color w:val="000000"/>
          <w:sz w:val="23"/>
          <w:szCs w:val="23"/>
        </w:rPr>
        <w:t xml:space="preserve">6. PRÓXIMOS PASOS</w:t>
      </w:r>
    </w:p>
    <w:p>
      <w:pPr>
        <w:spacing w:after="40"/>
        <w:ind w:left="426" w:hanging="284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•  </w:t>
      </w:r>
      <w:r>
        <w:rPr>
          <w:rFonts w:ascii="Arial" w:hAnsi="Arial" w:cs="Arial"/>
          <w:color w:val="000000"/>
          <w:sz w:val="21"/>
          <w:szCs w:val="21"/>
        </w:rPr>
        <w:t xml:space="preserve">Aprobación de este informe por Gerencia y envío a Sistemas con el prototipo: https://claude.ai/artifact/AdkXJLyjNBpWuowr1diB9f.</w:t>
      </w:r>
    </w:p>
    <w:p>
      <w:pPr>
        <w:spacing w:after="40"/>
        <w:ind w:left="426" w:hanging="284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•  </w:t>
      </w:r>
      <w:r>
        <w:rPr>
          <w:rFonts w:ascii="Arial" w:hAnsi="Arial" w:cs="Arial"/>
          <w:color w:val="000000"/>
          <w:sz w:val="21"/>
          <w:szCs w:val="21"/>
        </w:rPr>
        <w:t xml:space="preserve">Sistemas confirma el cronograma para octubre, empezando por los cambios de prioridad alta.</w:t>
      </w:r>
    </w:p>
    <w:p>
      <w:pPr>
        <w:spacing w:after="40"/>
        <w:ind w:left="426" w:hanging="284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•  </w:t>
      </w:r>
      <w:r>
        <w:rPr>
          <w:rFonts w:ascii="Arial" w:hAnsi="Arial" w:cs="Arial"/>
          <w:color w:val="000000"/>
          <w:sz w:val="21"/>
          <w:szCs w:val="21"/>
        </w:rPr>
        <w:t xml:space="preserve">Calidad entrega los valores pendientes: plazos de la política y de respuesta, catálogo de defectos, responsables de la visita técnica y numeración del informe.</w:t>
      </w:r>
    </w:p>
    <w:p>
      <w:pPr>
        <w:spacing w:after="40"/>
        <w:ind w:left="426" w:hanging="284"/>
        <w:jc w:val="both"/>
      </w:pPr>
      <w:r>
        <w:rPr>
          <w:rFonts w:ascii="Arial" w:hAnsi="Arial" w:cs="Arial"/>
          <w:color w:val="000000"/>
          <w:sz w:val="21"/>
          <w:szCs w:val="21"/>
        </w:rPr>
        <w:t xml:space="preserve">•  </w:t>
      </w:r>
      <w:r>
        <w:rPr>
          <w:rFonts w:ascii="Arial" w:hAnsi="Arial" w:cs="Arial"/>
          <w:color w:val="000000"/>
          <w:sz w:val="21"/>
          <w:szCs w:val="21"/>
        </w:rPr>
        <w:t xml:space="preserve">Pruebas con Calidad, asesores y área responsable, firma del acta de validación y capacitación antes de la salida a producción.</w:t>
      </w:r>
    </w:p>
    <w:p>
      <w:pPr>
        <w:spacing w:before="360" w:after="0"/>
      </w:pPr>
    </w:p>
    <w:tbl>
      <w:tblPr>
        <w:tblW w:w="8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252"/>
        <w:gridCol w:w="4252"/>
      </w:tblGrid>
      <w:tr>
        <w:trPr>
          <w:cantSplit/>
        </w:trPr>
        <w:tc>
          <w:tcPr>
            <w:tcW w:w="4252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Elaborado por:</w:t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______________________________</w:t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May</w:t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Sistemas Integrados de Gestión y Supervisora de Calidad</w:t>
            </w:r>
          </w:p>
        </w:tc>
        <w:tc>
          <w:tcPr>
            <w:tcW w:w="4252" w:type="dxa"/>
            <w:tcMar>
              <w:left w:w="70" w:type="dxa"/>
              <w:right w:w="70" w:type="dxa"/>
            </w:tcMar>
          </w:tcPr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Aprobado por:</w:t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______________________________</w:t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Danilo</w:t>
            </w:r>
          </w:p>
          <w:p>
            <w:pPr>
              <w:spacing w:before="20" w:after="2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/>
            </w:r>
          </w:p>
        </w:tc>
      </w:tr>
    </w:tbl>
    <w:sectPr w:rsidR="00231786" w:rsidRPr="002C644E" w:rsidSect="00710E30">
      <w:headerReference w:type="default" r:id="rId6"/>
      <w:footerReference w:type="default" r:id="rId7"/>
      <w:headerReference w:type="first" r:id="rId8"/>
      <w:pgSz w:w="11906" w:h="16838"/>
      <w:pgMar w:top="1135" w:right="1701" w:bottom="1417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44D7" w14:textId="77777777" w:rsidR="007E068E" w:rsidRDefault="007E068E" w:rsidP="00710E30">
      <w:r>
        <w:separator/>
      </w:r>
    </w:p>
  </w:endnote>
  <w:endnote w:type="continuationSeparator" w:id="0">
    <w:p w14:paraId="02A84D63" w14:textId="77777777" w:rsidR="007E068E" w:rsidRDefault="007E068E" w:rsidP="00710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10D74" w14:textId="77777777" w:rsidR="00710E30" w:rsidRPr="00462E9A" w:rsidRDefault="00710E30" w:rsidP="00710E30">
    <w:pPr>
      <w:spacing w:before="15"/>
      <w:ind w:left="20" w:hanging="871"/>
      <w:rPr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A0013F" wp14:editId="1123174A">
              <wp:simplePos x="0" y="0"/>
              <wp:positionH relativeFrom="rightMargin">
                <wp:align>left</wp:align>
              </wp:positionH>
              <wp:positionV relativeFrom="page">
                <wp:posOffset>10282336</wp:posOffset>
              </wp:positionV>
              <wp:extent cx="646430" cy="139700"/>
              <wp:effectExtent l="0" t="0" r="0" b="0"/>
              <wp:wrapNone/>
              <wp:docPr id="170781511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4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BCD17" w14:textId="77777777" w:rsidR="00710E30" w:rsidRDefault="00710E30" w:rsidP="00710E3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00000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16"/>
                            </w:rPr>
                            <w:t>1</w:t>
                          </w:r>
                          <w:r>
                            <w:rPr>
                              <w:color w:val="00000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0013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left:0;text-align:left;margin-left:0;margin-top:809.65pt;width:50.9pt;height:11pt;z-index:-251653120;visibility:visible;mso-wrap-style:square;mso-wrap-distance-left:0;mso-wrap-distance-top:0;mso-wrap-distance-right:0;mso-wrap-distance-bottom:0;mso-position-horizontal:left;mso-position-horizontal-relative:right-margin-area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" filled="f" stroked="f">
              <v:textbox inset="0,0,0,0">
                <w:txbxContent>
                  <w:p w14:paraId="49D634C7" w14:textId="77777777" w:rsidR="00710E30" w:rsidRDefault="00710E30" w:rsidP="00710E3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Página</w:t>
                    </w:r>
                    <w:r>
                      <w:rPr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fldChar w:fldCharType="begin"/>
                    </w:r>
                    <w:r>
                      <w:rPr>
                        <w:color w:val="000000"/>
                        <w:sz w:val="16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16"/>
                      </w:rPr>
                      <w:fldChar w:fldCharType="separate"/>
                    </w:r>
                    <w:r>
                      <w:rPr>
                        <w:color w:val="000000"/>
                        <w:sz w:val="16"/>
                      </w:rPr>
                      <w:t>1</w:t>
                    </w:r>
                    <w:r>
                      <w:rPr>
                        <w:color w:val="000000"/>
                        <w:sz w:val="16"/>
                      </w:rPr>
                      <w:fldChar w:fldCharType="end"/>
                    </w:r>
                    <w:r>
                      <w:rPr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de</w:t>
                    </w:r>
                    <w:r>
                      <w:rPr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t>5</w:t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E7FE13F" wp14:editId="3488C035">
              <wp:simplePos x="0" y="0"/>
              <wp:positionH relativeFrom="page">
                <wp:posOffset>6633670</wp:posOffset>
              </wp:positionH>
              <wp:positionV relativeFrom="page">
                <wp:posOffset>-480235</wp:posOffset>
              </wp:positionV>
              <wp:extent cx="64643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43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FDA18E" w14:textId="77777777" w:rsidR="00710E30" w:rsidRDefault="00710E30" w:rsidP="00710E30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000000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z w:val="16"/>
                            </w:rPr>
                            <w:t>1</w:t>
                          </w:r>
                          <w:r>
                            <w:rPr>
                              <w:color w:val="000000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6"/>
                            </w:rPr>
                            <w:t>de</w:t>
                          </w:r>
                          <w:r>
                            <w:rPr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color w:val="000000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7FE13F" id="_x0000_s1028" type="#_x0000_t202" style="position:absolute;left:0;text-align:left;margin-left:522.35pt;margin-top:-37.8pt;width:50.9pt;height:1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" filled="f" stroked="f">
              <v:textbox inset="0,0,0,0">
                <w:txbxContent>
                  <w:p w14:paraId="2BFFA13C" w14:textId="77777777" w:rsidR="00710E30" w:rsidRDefault="00710E30" w:rsidP="00710E3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Página</w:t>
                    </w:r>
                    <w:r>
                      <w:rPr>
                        <w:color w:val="000000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fldChar w:fldCharType="begin"/>
                    </w:r>
                    <w:r>
                      <w:rPr>
                        <w:color w:val="000000"/>
                        <w:sz w:val="16"/>
                      </w:rPr>
                      <w:instrText xml:space="preserve"> PAGE </w:instrText>
                    </w:r>
                    <w:r>
                      <w:rPr>
                        <w:color w:val="000000"/>
                        <w:sz w:val="16"/>
                      </w:rPr>
                      <w:fldChar w:fldCharType="separate"/>
                    </w:r>
                    <w:r>
                      <w:rPr>
                        <w:color w:val="000000"/>
                        <w:sz w:val="16"/>
                      </w:rPr>
                      <w:t>1</w:t>
                    </w:r>
                    <w:r>
                      <w:rPr>
                        <w:color w:val="000000"/>
                        <w:sz w:val="16"/>
                      </w:rPr>
                      <w:fldChar w:fldCharType="end"/>
                    </w:r>
                    <w:r>
                      <w:rPr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z w:val="16"/>
                      </w:rPr>
                      <w:t>de</w:t>
                    </w:r>
                    <w:r>
                      <w:rPr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t>5</w:t>
                    </w:r>
                    <w:r>
                      <w:rPr>
                        <w:color w:val="000000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color w:val="000000"/>
        <w:spacing w:val="-2"/>
        <w:sz w:val="16"/>
      </w:rPr>
      <w:t>ETIMET</w:t>
    </w:r>
    <w:r>
      <w:rPr>
        <w:color w:val="000000"/>
        <w:spacing w:val="-4"/>
        <w:sz w:val="16"/>
      </w:rPr>
      <w:t xml:space="preserve"> </w:t>
    </w:r>
    <w:r>
      <w:rPr>
        <w:color w:val="000000"/>
        <w:spacing w:val="-2"/>
        <w:sz w:val="16"/>
      </w:rPr>
      <w:t>CIA.</w:t>
    </w:r>
    <w:r>
      <w:rPr>
        <w:color w:val="000000"/>
        <w:spacing w:val="1"/>
        <w:sz w:val="16"/>
      </w:rPr>
      <w:t xml:space="preserve"> </w:t>
    </w:r>
    <w:r>
      <w:rPr>
        <w:color w:val="000000"/>
        <w:spacing w:val="-2"/>
        <w:sz w:val="16"/>
      </w:rPr>
      <w:t>LTDA.</w:t>
    </w:r>
    <w:r>
      <w:rPr>
        <w:color w:val="000000"/>
        <w:spacing w:val="-1"/>
        <w:sz w:val="16"/>
      </w:rPr>
      <w:t xml:space="preserve"> </w:t>
    </w:r>
    <w:r>
      <w:rPr>
        <w:color w:val="000000"/>
        <w:spacing w:val="-2"/>
        <w:sz w:val="16"/>
      </w:rPr>
      <w:t>|</w:t>
    </w:r>
    <w:r>
      <w:rPr>
        <w:color w:val="000000"/>
        <w:spacing w:val="-6"/>
        <w:sz w:val="16"/>
      </w:rPr>
      <w:t xml:space="preserve"> </w:t>
    </w:r>
    <w:r>
      <w:rPr>
        <w:color w:val="000000"/>
        <w:spacing w:val="-2"/>
        <w:sz w:val="16"/>
      </w:rPr>
      <w:t>Sistema</w:t>
    </w:r>
    <w:r>
      <w:rPr>
        <w:color w:val="000000"/>
        <w:spacing w:val="-1"/>
        <w:sz w:val="16"/>
      </w:rPr>
      <w:t xml:space="preserve"> </w:t>
    </w:r>
    <w:r>
      <w:rPr>
        <w:color w:val="000000"/>
        <w:spacing w:val="-2"/>
        <w:sz w:val="16"/>
      </w:rPr>
      <w:t>de</w:t>
    </w:r>
    <w:r>
      <w:rPr>
        <w:color w:val="000000"/>
        <w:spacing w:val="-7"/>
        <w:sz w:val="16"/>
      </w:rPr>
      <w:t xml:space="preserve"> </w:t>
    </w:r>
    <w:r>
      <w:rPr>
        <w:color w:val="000000"/>
        <w:spacing w:val="-2"/>
        <w:sz w:val="16"/>
      </w:rPr>
      <w:t>Gestión</w:t>
    </w:r>
    <w:r>
      <w:rPr>
        <w:color w:val="000000"/>
        <w:spacing w:val="-4"/>
        <w:sz w:val="16"/>
      </w:rPr>
      <w:t xml:space="preserve"> </w:t>
    </w:r>
    <w:r>
      <w:rPr>
        <w:color w:val="000000"/>
        <w:spacing w:val="-2"/>
        <w:sz w:val="16"/>
      </w:rPr>
      <w:t>de Calidad</w:t>
    </w:r>
  </w:p>
  <w:p w14:paraId="77CE2621" w14:textId="77777777" w:rsidR="00710E30" w:rsidRDefault="00710E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C4228" w14:textId="77777777" w:rsidR="007E068E" w:rsidRDefault="007E068E" w:rsidP="00710E30">
      <w:r>
        <w:separator/>
      </w:r>
    </w:p>
  </w:footnote>
  <w:footnote w:type="continuationSeparator" w:id="0">
    <w:p w14:paraId="18CB87C7" w14:textId="77777777" w:rsidR="007E068E" w:rsidRDefault="007E068E" w:rsidP="00710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C6F66" w14:textId="77777777" w:rsidR="00710E30" w:rsidRDefault="00710E30">
    <w:pPr>
      <w:pStyle w:val="Encabezado"/>
    </w:pPr>
    <w:r>
      <w:rPr>
        <w:rFonts w:ascii="Times New Roman"/>
        <w:noProof/>
        <w:sz w:val="40"/>
      </w:rPr>
      <w:drawing>
        <wp:anchor distT="0" distB="0" distL="0" distR="0" simplePos="0" relativeHeight="251657216" behindDoc="1" locked="0" layoutInCell="1" allowOverlap="1" wp14:anchorId="37BDF6BA" wp14:editId="7A2F2A2C">
          <wp:simplePos x="0" y="0"/>
          <wp:positionH relativeFrom="page">
            <wp:posOffset>39611</wp:posOffset>
          </wp:positionH>
          <wp:positionV relativeFrom="page">
            <wp:align>top</wp:align>
          </wp:positionV>
          <wp:extent cx="7762875" cy="2649220"/>
          <wp:effectExtent l="0" t="0" r="9525" b="0"/>
          <wp:wrapNone/>
          <wp:docPr id="177583321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2875" cy="2649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44DA5B85" w14:textId="77777777" w:rsidR="00231786" w:rsidRDefault="00231786">
    <w:pPr>
      <w:spacing w:line="155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6D2B" w14:textId="77777777" w:rsidR="00710E30" w:rsidRDefault="00710E30">
    <w:pPr>
      <w:pStyle w:val="Encabezado"/>
    </w:pPr>
    <w:r>
      <w:rPr>
        <w:rFonts w:ascii="Times New Roman"/>
        <w:noProof/>
        <w:sz w:val="40"/>
      </w:rPr>
      <w:drawing>
        <wp:anchor distT="0" distB="0" distL="0" distR="0" simplePos="0" relativeHeight="251656192" behindDoc="1" locked="0" layoutInCell="1" allowOverlap="1" wp14:anchorId="37BDF6BA" wp14:editId="7A2F2A2C">
          <wp:simplePos x="0" y="0"/>
          <wp:positionH relativeFrom="page">
            <wp:posOffset>39611</wp:posOffset>
          </wp:positionH>
          <wp:positionV relativeFrom="page">
            <wp:align>top</wp:align>
          </wp:positionV>
          <wp:extent cx="7762875" cy="2649220"/>
          <wp:effectExtent l="0" t="0" r="9525" b="0"/>
          <wp:wrapNone/>
          <wp:docPr id="156006627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2875" cy="2649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30"/>
    <w:rsid w:val="00231786"/>
    <w:rsid w:val="002C644E"/>
    <w:rsid w:val="0038241C"/>
    <w:rsid w:val="004E5806"/>
    <w:rsid w:val="00710E30"/>
    <w:rsid w:val="007E068E"/>
    <w:rsid w:val="00A16574"/>
    <w:rsid w:val="00CF4C5D"/>
    <w:rsid w:val="00E754DE"/>
    <w:rsid w:val="00FF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CFCD6"/>
  <w15:chartTrackingRefBased/>
  <w15:docId w15:val="{AF4DD449-2774-43EA-83C7-2FD89305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3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0E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E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E3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E3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E3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E3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E3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E3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E3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E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E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E3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10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E3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10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E3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10E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E3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10E3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710E30"/>
  </w:style>
  <w:style w:type="paragraph" w:styleId="Piedepgina">
    <w:name w:val="footer"/>
    <w:basedOn w:val="Normal"/>
    <w:link w:val="PiedepginaCar"/>
    <w:uiPriority w:val="99"/>
    <w:unhideWhenUsed/>
    <w:rsid w:val="00710E30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10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14</Words>
  <Characters>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Mayerli Calderón - ETIMET</dc:creator>
  <cp:keywords/>
  <dc:description/>
  <cp:lastModifiedBy>Mayerli Calderón - ETIMET</cp:lastModifiedBy>
  <cp:revision>3</cp:revision>
  <cp:lastPrinted>2026-09-17T16:01:00Z</cp:lastPrinted>
  <dcterms:created xsi:type="dcterms:W3CDTF">2026-09-17T13:49:00Z</dcterms:created>
  <dcterms:modified xsi:type="dcterms:W3CDTF">2026-09-17T16:01:00Z</dcterms:modified>
</cp:coreProperties>
</file>