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FD22" w14:textId="77777777" w:rsidR="00000000" w:rsidRDefault="0084454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DejaVuSansCondensed,DejaVuSansC" w:hAnsi="DejaVuSansCondensed,DejaVuSansC" w:cs="DejaVuSansCondensed,DejaVuSansC"/>
          <w:color w:val="000000"/>
          <w:sz w:val="24"/>
          <w:szCs w:val="24"/>
        </w:rPr>
      </w:pPr>
      <w:r>
        <w:rPr>
          <w:rFonts w:ascii="DejaVuSansCondensed,DejaVuSansC" w:hAnsi="DejaVuSansCondensed,DejaVuSansC" w:cs="DejaVuSansCondensed,DejaVuSansC"/>
          <w:color w:val="000000"/>
          <w:sz w:val="24"/>
          <w:szCs w:val="24"/>
        </w:rPr>
        <w:t xml:space="preserve"> </w:t>
      </w:r>
    </w:p>
    <w:tbl>
      <w:tblPr>
        <w:tblW w:w="0" w:type="auto"/>
        <w:tblInd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18"/>
        <w:gridCol w:w="6807"/>
      </w:tblGrid>
      <w:tr w:rsidR="00000000" w14:paraId="712F06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78BD85" w14:textId="77777777" w:rsidR="00000000" w:rsidRDefault="0084454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</w:pPr>
            <w:r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  <w:t>Gericht:</w:t>
            </w:r>
          </w:p>
        </w:tc>
        <w:tc>
          <w:tcPr>
            <w:tcW w:w="682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0B6BB0" w14:textId="77777777" w:rsidR="00000000" w:rsidRDefault="0084454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</w:pP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>KG Berlin 12. Zivil</w:t>
            </w: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softHyphen/>
              <w:t>senat</w:t>
            </w:r>
          </w:p>
        </w:tc>
      </w:tr>
      <w:tr w:rsidR="00000000" w14:paraId="79555E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EBB43" w14:textId="77777777" w:rsidR="00000000" w:rsidRDefault="0084454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</w:pPr>
            <w:r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  <w:t>Entschei</w:t>
            </w:r>
            <w:r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  <w:softHyphen/>
              <w:t>dungs</w:t>
            </w:r>
            <w:r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  <w:softHyphen/>
              <w:t>datum:</w:t>
            </w:r>
          </w:p>
        </w:tc>
        <w:tc>
          <w:tcPr>
            <w:tcW w:w="682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2D295" w14:textId="77777777" w:rsidR="00000000" w:rsidRDefault="0084454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</w:pP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>20.09.2010</w:t>
            </w:r>
          </w:p>
        </w:tc>
      </w:tr>
      <w:tr w:rsidR="00000000" w14:paraId="17565E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1402DD" w14:textId="77777777" w:rsidR="00000000" w:rsidRDefault="0084454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</w:pPr>
            <w:r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  <w:t>Rechts</w:t>
            </w:r>
            <w:r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  <w:softHyphen/>
              <w:t>kraft:</w:t>
            </w:r>
          </w:p>
        </w:tc>
        <w:tc>
          <w:tcPr>
            <w:tcW w:w="682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BEC9F4" w14:textId="77777777" w:rsidR="00000000" w:rsidRDefault="0084454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</w:pP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>ja</w:t>
            </w:r>
          </w:p>
        </w:tc>
      </w:tr>
      <w:tr w:rsidR="00000000" w14:paraId="7E7A22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67913A" w14:textId="77777777" w:rsidR="00000000" w:rsidRDefault="0084454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</w:pPr>
            <w:r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  <w:t>Akten</w:t>
            </w:r>
            <w:r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  <w:softHyphen/>
              <w:t>zeichen:</w:t>
            </w:r>
          </w:p>
        </w:tc>
        <w:tc>
          <w:tcPr>
            <w:tcW w:w="682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3B56B5" w14:textId="77777777" w:rsidR="00000000" w:rsidRDefault="0084454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</w:pP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>12 U 216/09</w:t>
            </w:r>
          </w:p>
        </w:tc>
      </w:tr>
      <w:tr w:rsidR="00000000" w14:paraId="0D0577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7D78E1" w14:textId="77777777" w:rsidR="00000000" w:rsidRDefault="0084454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</w:pPr>
            <w:r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  <w:t>ECLI:</w:t>
            </w:r>
          </w:p>
        </w:tc>
        <w:tc>
          <w:tcPr>
            <w:tcW w:w="682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931E7E" w14:textId="77777777" w:rsidR="00000000" w:rsidRDefault="0084454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</w:pP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>ECLI:DE:KG:2010:0920.12U216.09.0A</w:t>
            </w:r>
          </w:p>
        </w:tc>
      </w:tr>
      <w:tr w:rsidR="00000000" w14:paraId="53B749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C93E43" w14:textId="77777777" w:rsidR="00000000" w:rsidRDefault="0084454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</w:pPr>
            <w:r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  <w:t>Dokumenttyp:</w:t>
            </w:r>
          </w:p>
        </w:tc>
        <w:tc>
          <w:tcPr>
            <w:tcW w:w="682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664D7B" w14:textId="77777777" w:rsidR="00000000" w:rsidRDefault="0084454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</w:pP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>Beschluss</w:t>
            </w:r>
          </w:p>
        </w:tc>
      </w:tr>
    </w:tbl>
    <w:p w14:paraId="399B74DE" w14:textId="77777777" w:rsidR="00000000" w:rsidRDefault="008445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18"/>
        <w:gridCol w:w="6807"/>
      </w:tblGrid>
      <w:tr w:rsidR="00000000" w14:paraId="1E6BF0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DF40D7" w14:textId="77777777" w:rsidR="00000000" w:rsidRDefault="0084454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</w:pPr>
            <w:r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  <w:t>Quelle:</w:t>
            </w:r>
          </w:p>
        </w:tc>
        <w:tc>
          <w:tcPr>
            <w:tcW w:w="682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C749ED" w14:textId="08101CB9" w:rsidR="00000000" w:rsidRDefault="00761D5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</w:pPr>
            <w:r>
              <w:rPr>
                <w:rFonts w:ascii="DejaVuSansCondensed,DejaVuSansC" w:hAnsi="DejaVuSansCondensed,DejaVuSansC" w:cs="DejaVuSansCondensed,DejaVuSansC"/>
                <w:noProof/>
                <w:sz w:val="19"/>
                <w:szCs w:val="19"/>
              </w:rPr>
              <w:drawing>
                <wp:inline distT="0" distB="0" distL="0" distR="0" wp14:anchorId="5B2CCB2E" wp14:editId="2E6F8A0F">
                  <wp:extent cx="542925" cy="381000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0C8E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F34B95" w14:textId="77777777" w:rsidR="00000000" w:rsidRDefault="0084454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</w:pPr>
            <w:r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  <w:t>Normen:</w:t>
            </w:r>
          </w:p>
        </w:tc>
        <w:tc>
          <w:tcPr>
            <w:tcW w:w="682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A75FA1" w14:textId="77777777" w:rsidR="00000000" w:rsidRDefault="0084454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</w:pP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>§ </w:t>
            </w: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 xml:space="preserve">1 Abs 2 StVO, </w:t>
            </w: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>§ </w:t>
            </w: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 xml:space="preserve">2 Abs 2 StVO, </w:t>
            </w: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>§ </w:t>
            </w: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 xml:space="preserve">5 Abs 8 StVO, </w:t>
            </w: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>§ </w:t>
            </w: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 xml:space="preserve">6 StVO, </w:t>
            </w: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>§ </w:t>
            </w: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>14 Abs 1 StVO ...</w:t>
            </w: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> </w:t>
            </w: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>mehr</w:t>
            </w:r>
          </w:p>
        </w:tc>
      </w:tr>
      <w:tr w:rsidR="00000000" w14:paraId="7E064D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E930E" w14:textId="77777777" w:rsidR="00000000" w:rsidRDefault="0084454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</w:pPr>
            <w:r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  <w:t>Zitier</w:t>
            </w:r>
            <w:r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  <w:softHyphen/>
              <w:t>vor</w:t>
            </w:r>
            <w:r>
              <w:rPr>
                <w:rFonts w:ascii="DejaVuSansCondensed,DejaVuSansC" w:hAnsi="DejaVuSansCondensed,DejaVuSansC" w:cs="DejaVuSansCondensed,DejaVuSansC"/>
                <w:b/>
                <w:bCs/>
                <w:sz w:val="24"/>
                <w:szCs w:val="24"/>
              </w:rPr>
              <w:softHyphen/>
              <w:t>schlag:</w:t>
            </w:r>
          </w:p>
        </w:tc>
        <w:tc>
          <w:tcPr>
            <w:tcW w:w="682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EC585A" w14:textId="77777777" w:rsidR="00000000" w:rsidRDefault="00844540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</w:pP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>KG Berlin, Beschluss vom 20. September 2010</w:t>
            </w: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> –</w:t>
            </w: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 xml:space="preserve"> 12 U 216/09</w:t>
            </w: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> –</w:t>
            </w:r>
            <w:r>
              <w:rPr>
                <w:rFonts w:ascii="DejaVuSansCondensed,DejaVuSansC" w:hAnsi="DejaVuSansCondensed,DejaVuSansC" w:cs="DejaVuSansCondensed,DejaVuSansC"/>
                <w:sz w:val="19"/>
                <w:szCs w:val="19"/>
              </w:rPr>
              <w:t>, juris</w:t>
            </w:r>
          </w:p>
        </w:tc>
      </w:tr>
    </w:tbl>
    <w:p w14:paraId="52D77140" w14:textId="77777777" w:rsidR="00000000" w:rsidRDefault="00844540">
      <w:pPr>
        <w:widowControl w:val="0"/>
        <w:tabs>
          <w:tab w:val="left" w:pos="0"/>
        </w:tabs>
        <w:autoSpaceDE w:val="0"/>
        <w:autoSpaceDN w:val="0"/>
        <w:adjustRightInd w:val="0"/>
        <w:spacing w:after="240" w:line="240" w:lineRule="auto"/>
        <w:rPr>
          <w:rFonts w:ascii="DejaVuSansCondensed,DejaVuSansC" w:hAnsi="DejaVuSansCondensed,DejaVuSansC" w:cs="DejaVuSansCondensed,DejaVuSansC"/>
          <w:color w:val="000000"/>
          <w:sz w:val="24"/>
          <w:szCs w:val="24"/>
        </w:rPr>
      </w:pPr>
      <w:r>
        <w:rPr>
          <w:rFonts w:ascii="DejaVuSansCondensed,DejaVuSansC" w:hAnsi="DejaVuSansCondensed,DejaVuSansC" w:cs="DejaVuSansCondensed,DejaVuSansC"/>
          <w:color w:val="000000"/>
          <w:sz w:val="24"/>
          <w:szCs w:val="24"/>
        </w:rPr>
        <w:t xml:space="preserve"> </w:t>
      </w:r>
    </w:p>
    <w:p w14:paraId="2E2090F9" w14:textId="77777777" w:rsidR="00000000" w:rsidRDefault="0084454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DejaVuSansCondensed,DejaVuSansC" w:hAnsi="DejaVuSansCondensed,DejaVuSansC" w:cs="DejaVuSansCondensed,DejaVuSansC"/>
          <w:color w:val="000000"/>
          <w:sz w:val="24"/>
          <w:szCs w:val="24"/>
        </w:rPr>
      </w:pPr>
      <w:r>
        <w:rPr>
          <w:rFonts w:ascii="DejaVuSansCondensed,DejaVuSansC" w:hAnsi="DejaVuSansCondensed,DejaVuSansC" w:cs="DejaVuSansCondensed,DejaVuSansC"/>
          <w:color w:val="000000"/>
          <w:sz w:val="24"/>
          <w:szCs w:val="24"/>
        </w:rPr>
        <w:t xml:space="preserve"> </w:t>
      </w:r>
    </w:p>
    <w:p w14:paraId="32666970" w14:textId="77777777" w:rsidR="00000000" w:rsidRDefault="00844540">
      <w:pPr>
        <w:widowControl w:val="0"/>
        <w:tabs>
          <w:tab w:val="left" w:pos="-150"/>
        </w:tabs>
        <w:autoSpaceDE w:val="0"/>
        <w:autoSpaceDN w:val="0"/>
        <w:adjustRightInd w:val="0"/>
        <w:spacing w:before="240" w:after="0" w:line="240" w:lineRule="auto"/>
        <w:ind w:left="-150"/>
        <w:jc w:val="center"/>
        <w:rPr>
          <w:rFonts w:ascii="DejaVuSansCondensed,DejaVuSansC" w:hAnsi="DejaVuSansCondensed,DejaVuSansC" w:cs="DejaVuSansCondensed,DejaVuSansC"/>
          <w:b/>
          <w:bCs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b/>
          <w:bCs/>
          <w:sz w:val="19"/>
          <w:szCs w:val="19"/>
        </w:rPr>
        <w:t xml:space="preserve"> </w:t>
      </w:r>
    </w:p>
    <w:p w14:paraId="1DE7C462" w14:textId="77777777" w:rsidR="00000000" w:rsidRDefault="00844540">
      <w:pPr>
        <w:widowControl w:val="0"/>
        <w:tabs>
          <w:tab w:val="left" w:pos="630"/>
        </w:tabs>
        <w:autoSpaceDE w:val="0"/>
        <w:autoSpaceDN w:val="0"/>
        <w:adjustRightInd w:val="0"/>
        <w:spacing w:before="218" w:after="218" w:line="240" w:lineRule="auto"/>
        <w:ind w:left="630" w:hanging="780"/>
        <w:jc w:val="center"/>
        <w:rPr>
          <w:rFonts w:ascii="DejaVuSansCondensed,DejaVuSansC" w:hAnsi="DejaVuSansCondensed,DejaVuSansC" w:cs="DejaVuSansCondensed,DejaVuSansC"/>
          <w:b/>
          <w:bCs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b/>
          <w:bCs/>
          <w:sz w:val="19"/>
          <w:szCs w:val="19"/>
        </w:rPr>
        <w:tab/>
        <w:t xml:space="preserve">Radfahrerunfall: Haftungsverteilung bei Kollision mit einer sich </w:t>
      </w:r>
      <w:r>
        <w:rPr>
          <w:rFonts w:ascii="DejaVuSansCondensed,DejaVuSansC" w:hAnsi="DejaVuSansCondensed,DejaVuSansC" w:cs="DejaVuSansCondensed,DejaVuSansC"/>
          <w:b/>
          <w:bCs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b/>
          <w:bCs/>
          <w:sz w:val="19"/>
          <w:szCs w:val="19"/>
        </w:rPr>
        <w:t>ffnenden Beifahrert</w:t>
      </w:r>
      <w:r>
        <w:rPr>
          <w:rFonts w:ascii="DejaVuSansCondensed,DejaVuSansC" w:hAnsi="DejaVuSansCondensed,DejaVuSansC" w:cs="DejaVuSansCondensed,DejaVuSansC"/>
          <w:b/>
          <w:bCs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b/>
          <w:bCs/>
          <w:sz w:val="19"/>
          <w:szCs w:val="19"/>
        </w:rPr>
        <w:t>r</w:t>
      </w:r>
    </w:p>
    <w:p w14:paraId="5F659D25" w14:textId="77777777" w:rsidR="00000000" w:rsidRDefault="00844540">
      <w:pPr>
        <w:widowControl w:val="0"/>
        <w:tabs>
          <w:tab w:val="left" w:pos="-150"/>
        </w:tabs>
        <w:autoSpaceDE w:val="0"/>
        <w:autoSpaceDN w:val="0"/>
        <w:adjustRightInd w:val="0"/>
        <w:spacing w:after="240" w:line="240" w:lineRule="auto"/>
        <w:ind w:left="-150"/>
        <w:jc w:val="center"/>
        <w:rPr>
          <w:rFonts w:ascii="DejaVuSansCondensed,DejaVuSansC" w:hAnsi="DejaVuSansCondensed,DejaVuSansC" w:cs="DejaVuSansCondensed,DejaVuSansC"/>
          <w:b/>
          <w:bCs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b/>
          <w:bCs/>
          <w:sz w:val="19"/>
          <w:szCs w:val="19"/>
        </w:rPr>
        <w:t xml:space="preserve"> </w:t>
      </w:r>
    </w:p>
    <w:p w14:paraId="584A8176" w14:textId="77777777" w:rsidR="00000000" w:rsidRDefault="00844540">
      <w:pPr>
        <w:widowControl w:val="0"/>
        <w:tabs>
          <w:tab w:val="left" w:pos="405"/>
        </w:tabs>
        <w:autoSpaceDE w:val="0"/>
        <w:autoSpaceDN w:val="0"/>
        <w:adjustRightInd w:val="0"/>
        <w:spacing w:before="146" w:after="0" w:line="240" w:lineRule="auto"/>
        <w:ind w:left="405"/>
        <w:rPr>
          <w:rFonts w:ascii="DejaVuSansCondensed,DejaVuSansC" w:hAnsi="DejaVuSansCondensed,DejaVuSansC" w:cs="DejaVuSansCondensed,DejaVuSansC"/>
          <w:b/>
          <w:bCs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b/>
          <w:bCs/>
          <w:sz w:val="19"/>
          <w:szCs w:val="19"/>
        </w:rPr>
        <w:t>Leitsatz</w:t>
      </w:r>
    </w:p>
    <w:p w14:paraId="3D5570B9" w14:textId="77777777" w:rsidR="00000000" w:rsidRDefault="00844540">
      <w:pPr>
        <w:widowControl w:val="0"/>
        <w:tabs>
          <w:tab w:val="left" w:pos="405"/>
        </w:tabs>
        <w:autoSpaceDE w:val="0"/>
        <w:autoSpaceDN w:val="0"/>
        <w:adjustRightInd w:val="0"/>
        <w:spacing w:before="98" w:after="0" w:line="240" w:lineRule="auto"/>
        <w:ind w:left="405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11D22F6B" w14:textId="77777777" w:rsidR="00000000" w:rsidRDefault="00844540">
      <w:pPr>
        <w:widowControl w:val="0"/>
        <w:tabs>
          <w:tab w:val="left" w:pos="1185"/>
        </w:tabs>
        <w:autoSpaceDE w:val="0"/>
        <w:autoSpaceDN w:val="0"/>
        <w:adjustRightInd w:val="0"/>
        <w:spacing w:before="218" w:after="218" w:line="240" w:lineRule="auto"/>
        <w:ind w:left="1185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1. Grunds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tzlich muss gem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2 Abs.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2 StVO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an einem Hindernis (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6 StVO) rechts vorbeigefahren werden; dies gilt aber nur dann, wenn dies wegen des einzuhaltenden seitlichen Sicherheitsabstands vertretbar ist (Rn.31) .</w:t>
      </w:r>
    </w:p>
    <w:p w14:paraId="4771D6EA" w14:textId="77777777" w:rsidR="00000000" w:rsidRDefault="00844540">
      <w:pPr>
        <w:widowControl w:val="0"/>
        <w:tabs>
          <w:tab w:val="left" w:pos="405"/>
        </w:tabs>
        <w:autoSpaceDE w:val="0"/>
        <w:autoSpaceDN w:val="0"/>
        <w:adjustRightInd w:val="0"/>
        <w:spacing w:after="0" w:line="240" w:lineRule="auto"/>
        <w:ind w:left="405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754EADF0" w14:textId="77777777" w:rsidR="00000000" w:rsidRDefault="00844540">
      <w:pPr>
        <w:widowControl w:val="0"/>
        <w:tabs>
          <w:tab w:val="left" w:pos="1185"/>
        </w:tabs>
        <w:autoSpaceDE w:val="0"/>
        <w:autoSpaceDN w:val="0"/>
        <w:adjustRightInd w:val="0"/>
        <w:spacing w:before="218" w:after="218" w:line="240" w:lineRule="auto"/>
        <w:ind w:left="1185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2. Will ein Radfahrer durch eine ca. 1,5 m breite 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cke zwischen einem auf d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er Fahrbahn stehenden Pkw und schr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g zur Fahrbahn rechts parkenden Fahrzeugen fahren und kommt er infolge des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ffnens der Beifahrert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r des stehenden Pkw zu Fall, so kommt ein Mitverschulden des Radfahrers nach einer Quote von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in Betracht (Rn.37) .</w:t>
      </w:r>
    </w:p>
    <w:p w14:paraId="6673D5B5" w14:textId="77777777" w:rsidR="00000000" w:rsidRDefault="00844540">
      <w:pPr>
        <w:widowControl w:val="0"/>
        <w:tabs>
          <w:tab w:val="left" w:pos="405"/>
        </w:tabs>
        <w:autoSpaceDE w:val="0"/>
        <w:autoSpaceDN w:val="0"/>
        <w:adjustRightInd w:val="0"/>
        <w:spacing w:after="0" w:line="240" w:lineRule="auto"/>
        <w:ind w:left="405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04DA74F9" w14:textId="77777777" w:rsidR="00000000" w:rsidRDefault="00844540">
      <w:pPr>
        <w:widowControl w:val="0"/>
        <w:tabs>
          <w:tab w:val="left" w:pos="1185"/>
        </w:tabs>
        <w:autoSpaceDE w:val="0"/>
        <w:autoSpaceDN w:val="0"/>
        <w:adjustRightInd w:val="0"/>
        <w:spacing w:before="218" w:after="218" w:line="240" w:lineRule="auto"/>
        <w:ind w:left="1185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 xml:space="preserve">3.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Der Radfahrer, dessen Fahrzeugbreite mit ca. 0,6 m anzusetzen ist, 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lt n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mlich in einem solchen Fall keinen ausreichenden Sicherheitsabstand nach links und rechts ein, da dieser jeweils nur ca. 0,45 m betr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gt (Rn.42) .</w:t>
      </w:r>
    </w:p>
    <w:p w14:paraId="4BC61D5E" w14:textId="77777777" w:rsidR="00000000" w:rsidRDefault="00844540">
      <w:pPr>
        <w:widowControl w:val="0"/>
        <w:tabs>
          <w:tab w:val="left" w:pos="405"/>
        </w:tabs>
        <w:autoSpaceDE w:val="0"/>
        <w:autoSpaceDN w:val="0"/>
        <w:adjustRightInd w:val="0"/>
        <w:spacing w:after="0" w:line="240" w:lineRule="auto"/>
        <w:ind w:left="405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0A617FBC" w14:textId="77777777" w:rsidR="00000000" w:rsidRDefault="00844540">
      <w:pPr>
        <w:widowControl w:val="0"/>
        <w:tabs>
          <w:tab w:val="left" w:pos="405"/>
        </w:tabs>
        <w:autoSpaceDE w:val="0"/>
        <w:autoSpaceDN w:val="0"/>
        <w:adjustRightInd w:val="0"/>
        <w:spacing w:after="0" w:line="240" w:lineRule="auto"/>
        <w:ind w:left="405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Fundstellen</w:t>
      </w:r>
    </w:p>
    <w:p w14:paraId="596E07F1" w14:textId="77777777" w:rsidR="00000000" w:rsidRDefault="00844540">
      <w:pPr>
        <w:widowControl w:val="0"/>
        <w:tabs>
          <w:tab w:val="left" w:pos="405"/>
        </w:tabs>
        <w:autoSpaceDE w:val="0"/>
        <w:autoSpaceDN w:val="0"/>
        <w:adjustRightInd w:val="0"/>
        <w:spacing w:before="98" w:after="0" w:line="240" w:lineRule="auto"/>
        <w:ind w:left="405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SVR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2011, 147-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​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149 (Le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itsatz und Gr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nde)</w:t>
      </w:r>
    </w:p>
    <w:p w14:paraId="6D338EAD" w14:textId="77777777" w:rsidR="00000000" w:rsidRDefault="00844540">
      <w:pPr>
        <w:widowControl w:val="0"/>
        <w:tabs>
          <w:tab w:val="left" w:pos="405"/>
        </w:tabs>
        <w:autoSpaceDE w:val="0"/>
        <w:autoSpaceDN w:val="0"/>
        <w:adjustRightInd w:val="0"/>
        <w:spacing w:after="0" w:line="240" w:lineRule="auto"/>
        <w:ind w:left="405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RuS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2011, 174-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​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176 (Leitsatz und Gr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nde)</w:t>
      </w:r>
    </w:p>
    <w:p w14:paraId="6DF572CA" w14:textId="77777777" w:rsidR="00000000" w:rsidRDefault="00844540">
      <w:pPr>
        <w:widowControl w:val="0"/>
        <w:tabs>
          <w:tab w:val="left" w:pos="405"/>
        </w:tabs>
        <w:autoSpaceDE w:val="0"/>
        <w:autoSpaceDN w:val="0"/>
        <w:adjustRightInd w:val="0"/>
        <w:spacing w:after="0" w:line="240" w:lineRule="auto"/>
        <w:ind w:left="405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Verfahrensgang</w:t>
      </w:r>
    </w:p>
    <w:p w14:paraId="7C41979B" w14:textId="77777777" w:rsidR="00000000" w:rsidRDefault="00844540">
      <w:pPr>
        <w:widowControl w:val="0"/>
        <w:tabs>
          <w:tab w:val="left" w:pos="405"/>
        </w:tabs>
        <w:autoSpaceDE w:val="0"/>
        <w:autoSpaceDN w:val="0"/>
        <w:adjustRightInd w:val="0"/>
        <w:spacing w:before="98" w:after="0" w:line="240" w:lineRule="auto"/>
        <w:ind w:left="405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vorgehend LG Berlin, kein Datum verf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gbar, 17 O 174/08</w:t>
      </w:r>
    </w:p>
    <w:p w14:paraId="7B62089F" w14:textId="77777777" w:rsidR="00000000" w:rsidRDefault="00844540">
      <w:pPr>
        <w:widowControl w:val="0"/>
        <w:tabs>
          <w:tab w:val="left" w:pos="405"/>
        </w:tabs>
        <w:autoSpaceDE w:val="0"/>
        <w:autoSpaceDN w:val="0"/>
        <w:adjustRightInd w:val="0"/>
        <w:spacing w:before="146" w:after="0" w:line="240" w:lineRule="auto"/>
        <w:ind w:left="405"/>
        <w:rPr>
          <w:rFonts w:ascii="DejaVuSansCondensed,DejaVuSansC" w:hAnsi="DejaVuSansCondensed,DejaVuSansC" w:cs="DejaVuSansCondensed,DejaVuSansC"/>
          <w:b/>
          <w:bCs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b/>
          <w:bCs/>
          <w:sz w:val="19"/>
          <w:szCs w:val="19"/>
        </w:rPr>
        <w:t>Tenor</w:t>
      </w:r>
    </w:p>
    <w:p w14:paraId="7AF1AA94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2429E27C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Der Senat erteilt den Parteien folgende Hinweise und schl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gt ihnen einen Vergleich vor.</w:t>
      </w:r>
    </w:p>
    <w:p w14:paraId="75E2661E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09747A26" w14:textId="77777777" w:rsidR="00000000" w:rsidRDefault="00844540">
      <w:pPr>
        <w:widowControl w:val="0"/>
        <w:tabs>
          <w:tab w:val="left" w:pos="405"/>
        </w:tabs>
        <w:autoSpaceDE w:val="0"/>
        <w:autoSpaceDN w:val="0"/>
        <w:adjustRightInd w:val="0"/>
        <w:spacing w:before="146" w:after="0" w:line="240" w:lineRule="auto"/>
        <w:ind w:left="405"/>
        <w:rPr>
          <w:rFonts w:ascii="DejaVuSansCondensed,DejaVuSansC" w:hAnsi="DejaVuSansCondensed,DejaVuSansC" w:cs="DejaVuSansCondensed,DejaVuSansC"/>
          <w:b/>
          <w:bCs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b/>
          <w:bCs/>
          <w:sz w:val="19"/>
          <w:szCs w:val="19"/>
        </w:rPr>
        <w:lastRenderedPageBreak/>
        <w:t>Gr</w:t>
      </w:r>
      <w:r>
        <w:rPr>
          <w:rFonts w:ascii="DejaVuSansCondensed,DejaVuSansC" w:hAnsi="DejaVuSansCondensed,DejaVuSansC" w:cs="DejaVuSansCondensed,DejaVuSansC"/>
          <w:b/>
          <w:bCs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b/>
          <w:bCs/>
          <w:sz w:val="19"/>
          <w:szCs w:val="19"/>
        </w:rPr>
        <w:t>nde</w:t>
      </w:r>
    </w:p>
    <w:p w14:paraId="547EB0FC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1B58A1B2" w14:textId="77777777" w:rsidR="00000000" w:rsidRDefault="00844540">
      <w:pPr>
        <w:widowControl w:val="0"/>
        <w:tabs>
          <w:tab w:val="left" w:pos="3390"/>
        </w:tabs>
        <w:autoSpaceDE w:val="0"/>
        <w:autoSpaceDN w:val="0"/>
        <w:adjustRightInd w:val="0"/>
        <w:spacing w:before="218" w:after="218" w:line="240" w:lineRule="auto"/>
        <w:ind w:left="33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I.</w:t>
      </w:r>
    </w:p>
    <w:p w14:paraId="323FDD97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5724BEF9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1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</w:r>
      <w:r>
        <w:rPr>
          <w:rFonts w:ascii="DejaVuSansCondensed,DejaVuSansC" w:hAnsi="DejaVuSansCondensed,DejaVuSansC" w:cs="DejaVuSansCondensed,DejaVuSansC"/>
          <w:sz w:val="19"/>
          <w:szCs w:val="19"/>
        </w:rPr>
        <w:t>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verlangt von den Beklagten Schadensersatz und Schmerzensgeld nach einem Verkehrsunfall.</w:t>
      </w:r>
    </w:p>
    <w:p w14:paraId="37BF3D7C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3EA68E85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2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befuhr am 22. Juni 2007 um 14: 30 Uhr mit ihrem Fahrrad die P.stra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e in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…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Berlin in Richtung K. Stra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e. In 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he der Hausnummer 84 wartete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in Fahrtrichtung der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der von der Beklagten zu 2) gehaltene und bei der Beklagten zu 3) gegen Haftpflicht versicherte Pkw Ford Escort. Auf der rechten Fahrbahnseite standen in schr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 nach vorn gerichteten Parkh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fen Fahrzeuge. Als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mit i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hrem Fahrrad rechts an dem Beklagtenfahrzeug vorbeifuhr,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ffnete der Beklagte zu 1) die Beifahrert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weit und z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gig, woraufhin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zu Fall kam und sich verletzte.</w:t>
      </w:r>
    </w:p>
    <w:p w14:paraId="16B6614E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6DBFB0C5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3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hat behauptet, zwischen dem Beklagtenfahrzeug und den rechts geparkten Kfz sein eine 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cke von ca. 1,5 m verblieben.</w:t>
      </w:r>
    </w:p>
    <w:p w14:paraId="6DED61AF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46C97AF9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4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Sie hat gemeint, die Beklagten hafteten zu 100 % 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den entstandenen Schaden. Sie verlangt ein angemessenes Schmerzensgeld in 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he von zumindest 7.500,00 EUR, worauf unstreitig schon 2.500,00 EUR gezahlt wurden, Schadensersatz in 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he von insgesamt 289,70 EUR die Feststellung, dass die Beklagten als Gesamtschuldner verpflichtet seien, der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allen k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nftigen materiellen und im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materiellen Schaden zu ersetzen sowie Ersatz der ihr au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ergerichtlich entstandenen Rechtsanwaltskosten.</w:t>
      </w:r>
    </w:p>
    <w:p w14:paraId="3A7F7ACC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4796C3DE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5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Die Beklagten haben behauptet, zwischen dem Beklagtenfahrzeug und den rechts geparkten Fahrzeugen habe nur ein Abstand von ca. 60 cm bestanden.</w:t>
      </w:r>
    </w:p>
    <w:p w14:paraId="7DE4FABB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5473C507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6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</w:r>
      <w:r>
        <w:rPr>
          <w:rFonts w:ascii="DejaVuSansCondensed,DejaVuSansC" w:hAnsi="DejaVuSansCondensed,DejaVuSansC" w:cs="DejaVuSansCondensed,DejaVuSansC"/>
          <w:sz w:val="19"/>
          <w:szCs w:val="19"/>
        </w:rPr>
        <w:t>Das Landgericht hat nach Anh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rung der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und des Beklagten zu 1), Vernehmung der Zeugen K. und T. sowie Einholung eines schriftlichen medizinischen Sachverst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ndigengutachtens der Klage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berwiegend stattgegeben. Das Landgericht hat die Beklagten unter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Abweisung der Klage im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brigen verurteilt, an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ein Schmerzensgeld in 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he von 5.000,00 EUR und weitere 279,70 EUR nebst Zinsen zu zahlen, ferner festgestellt, dass die Beklagten als Gesamtschuldner verpflichtet seien, der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s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mtliche ma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teriellen und immateriellen Sch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den aus dem Verkehrsunfall vom 22. Juni 2007 zu zahlen und schlie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lich die Beklagten verurteilt, an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au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ergerichtliche Anwaltskosten in 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he von 775,65 EUR zu zahlen.</w:t>
      </w:r>
    </w:p>
    <w:p w14:paraId="785A895D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44549D3C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7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Zur Begr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ndung hat das Landgericht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–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sowe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it 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r das Berufungsverfahren von Interesse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–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im Wesentlichen ausgef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hrt:</w:t>
      </w:r>
    </w:p>
    <w:p w14:paraId="7D20E8BA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728D10EB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8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 xml:space="preserve">Die Klage sei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berwiegend begr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ndet.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habe gegen die Beklagten Anspruch auf Schadensersatz gem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823 Abs.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 BGB, 7, 17, 18 StVG, 115 VVG.</w:t>
      </w:r>
    </w:p>
    <w:p w14:paraId="28CEF033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25E18C80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9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Nach dem Ergebnis der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Beweisaufnahme sei das Gericht davon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berzeugt, dass der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lastRenderedPageBreak/>
        <w:t xml:space="preserve">Verursachungsbeitrag des Beklagten zu 1) 100 % betrage. Gegen ihn spreche der Anscheinsbeweis des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14 Abs.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 StVO. St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rze ein Radfahrer im unmittelbaren Zusammenhang mit dem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ffnen der 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r, so spre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che der Anscheinsbeweis 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eine Verursachung durch das 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r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ffnen. Soweit der Beklagte zu 1) und der Zeuge K. angegeben 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tten, der Beklagte zu 1) habe die 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gar nicht ge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ffnet, bevor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gest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rzt sei, stehe dies in krassem Widerspruch zum bish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erigen Vortrag und werde widerlegt durch die Aussage des unfallunbeteiligten Zeugen T., den das Gericht 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glaubhaft halte.</w:t>
      </w:r>
    </w:p>
    <w:p w14:paraId="58D7D846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6B90E419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10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 xml:space="preserve">Nach dem Ergebnis der Beweisaufnahme stehe zur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berzeugung des Gerichts ebenfalls fest, dass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nicht gegen ihre Sor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gfaltspflichten nach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8 Abs.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5 StVO (gemeint ist: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5 Abs.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8 StVO) versto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en habe.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habe nur bei ausreichendem Platz, mit m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iger Geschwindigkeit und besonderer Vorsicht rechts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berholen d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rfen.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habe angegeben, mit etwa 10 km/h ge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fahren zu sein, was einer m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igen Geschwindigkeit entspreche. Ihre Angabe werde durch die Aussage des Zeugen T. belegt, der ausgesagt habe, dass 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ein Fahrrad ausreichend Platz auf der rechten Seite des Fahrzeugs gewesen sei und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auch langsam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,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„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wie Frauen halt fahren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“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, gefahren sei. Die gegenteiligen Angaben des Beklagten zu 1) und des Zeugen K. 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tten das Gericht nicht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berzeugt.</w:t>
      </w:r>
    </w:p>
    <w:p w14:paraId="308B77C9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717F38A7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11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 xml:space="preserve">Gegen dieses Urteil wenden sich die Beklagten mit ihrer Berufung, mit der sie eine Haftungsverteilung von 50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% zu 50 % erstreben. Zur Begr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ndung 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hren sie im Wesentlichen aus:</w:t>
      </w:r>
    </w:p>
    <w:p w14:paraId="38AD4851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6ABC29C2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12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Als Ergebnis der Beweisaufnahme stehe fest, dass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gerin gegen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 Abs.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2 StVO versto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en habe. Dieser Versto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werde nicht durch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14 StVO und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254 BGB mit der Folge einer Allein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haftung der Beklagtenseite kompensiert.</w:t>
      </w:r>
    </w:p>
    <w:p w14:paraId="4F9AEB9D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054DD4B5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13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Die Beklagten greifen die Beweisw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rdigung des Landgerichts im Einzelnen an und halten sie teils 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r nicht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berzeugend, teils 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nicht hinreichend begr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ndet. Der Aussage des Zeugen K. 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tte entnommen werden k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nn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en, dass der Platz rechts neben der Fahrzeugseite denkbar gering gewesen sei. Jedem Radfahrer 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tte es sich aufdr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ngen m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ssen, dass es gefahrbehaftet sei, eng an diesem Fahrzeug vorbeizufahren.</w:t>
      </w:r>
    </w:p>
    <w:p w14:paraId="15E5E219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2F1F915B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14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Unbeachtet habe das Landgericht gelassen, dass das Beklag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tenfahrzeug nicht am rechten Fahrbahnrand, sondern links neben geparkten Fahrzeugen gestanden habe. Dort habe nicht unbedingt damit gerechnet werden m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ssen, dass sich neben dem Fahrzeug noch ein Fahrradfahrer hindurchzw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ngen w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rde.</w:t>
      </w:r>
    </w:p>
    <w:p w14:paraId="69181358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5BAAF527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15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Beim Vorbeifahren an einem Fahrzeug m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sse jeder damit rechnen, dass eine 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ge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ffnet werde. Es sei ein Seitenabstand von mindestens 1 m einzuhalten.</w:t>
      </w:r>
    </w:p>
    <w:p w14:paraId="488BBF5F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34397010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16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verteidigt das angegriffene Urteil.</w:t>
      </w:r>
    </w:p>
    <w:p w14:paraId="1A8CD368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2796FC19" w14:textId="77777777" w:rsidR="00000000" w:rsidRDefault="00844540">
      <w:pPr>
        <w:widowControl w:val="0"/>
        <w:tabs>
          <w:tab w:val="left" w:pos="3390"/>
        </w:tabs>
        <w:autoSpaceDE w:val="0"/>
        <w:autoSpaceDN w:val="0"/>
        <w:adjustRightInd w:val="0"/>
        <w:spacing w:before="218" w:after="218" w:line="240" w:lineRule="auto"/>
        <w:ind w:left="33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II.</w:t>
      </w:r>
    </w:p>
    <w:p w14:paraId="66521137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756B456A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17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 xml:space="preserve">Die Berufung hat teilweise Aussicht auf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Erfolg.</w:t>
      </w:r>
    </w:p>
    <w:p w14:paraId="2F52FCED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1DBDEF09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lastRenderedPageBreak/>
        <w:t>18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1. Zu Recht ist das Landgericht von einer Haftung der Beklagten dem Grunde nach gem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823, 254 BGB,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7, 17, StVG,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115 VVG ausgegangen.</w:t>
      </w:r>
    </w:p>
    <w:p w14:paraId="1A87E511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6A6B8AE0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19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a) Das Landgericht hat n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mlich festgestellt, dass der Beklagte zu 1) beim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ffnen der Beifahrert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die auf dem Fahrrad rechts an dem Beklagtenfahrzeug vorbeifahrende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zu Fall gebracht habe. Hieran ist der Senat gebunden.</w:t>
      </w:r>
    </w:p>
    <w:p w14:paraId="3ABB9B14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4A3910BA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20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 xml:space="preserve">Denn nach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529 Abs.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 Nr.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 ZPO hat das Berufungsgericht seiner Entscheidung die vom Gericht des ersten Rechtszuges fe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stgestellten Tatsachen zu Grunde zu legen, soweit nicht konkrete Anhaltspunkte Zweifel an der Richtigkeit oder Vollst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ndigkeit der entscheidungserheblichen Feststellungen begr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nden.</w:t>
      </w:r>
    </w:p>
    <w:p w14:paraId="0A438DD5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5CA4EB2F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21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Dies ist nicht der Fall, wenn sich das Gericht des ersten Rechtszuges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bei der Tatsachenfeststellung an die Grunds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tze der freien Beweisw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rdigung des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286 ZPO gehalten hat und das Berufungsgericht keinen Anlass sieht, vom Ergebnis der Beweisw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rdigung abzuweichen (Senat, NJOZ 2008, 782, 784).</w:t>
      </w:r>
    </w:p>
    <w:p w14:paraId="3DDF5CDD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3CFA6E9D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22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286 ZPO fordert den Richt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er auf, nach seiner freien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berzeugung zu entscheiden. Das bedeutet, dass er lediglich an Denk- und Naturgesetze sowie an Erfahrungss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tze und ausnahmsweise gesetzliche Beweisregeln gebunden ist, ansonsten aber die im Prozess gewonnenen Erkenntnisse nach se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iner individuellen Einsch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tzung bewerten darf. So darf er beispielsweise einer Partei mehr glauben als einem beeideten Zeugen oder trotz mehrerer best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tigender Zeugenaussagen das Gegenteil einer Beweisbehauptung feststellen (Greger in Z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ller, ZPO, 28. Aufl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age,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286, Rn. 13).</w:t>
      </w:r>
    </w:p>
    <w:p w14:paraId="6E725F30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34BAB2B1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23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Das Landgericht ist diesen Grunds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tzen gerecht geworden. Es hat seine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berzeugung, dass zuerst die 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ge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ffnet worden und danach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zu Fall gekommen sei, auf die Aussage des Zeugen T., die es 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glaubhaft gehalten hat,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gest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tzt. Die Angaben des Beklagten zu 1) und des Zeugen K. hat es 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Schutzbehauptungen gehalten. Diese Beweisw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rdigung 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sst Fehler nicht erkennen.</w:t>
      </w:r>
    </w:p>
    <w:p w14:paraId="79660CAF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5B01945A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24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Insbesondere hat das Landgericht seine Einsch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tzung, die Angaben des Beklagten zu 1) und des Zeugen K. vor Gericht seien Schutzbehauptungen,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berzeugend mit dem Widerspruch zum Inhalt der Zeugenaussage des Zeugen K. gegen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 der Polizei begr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ndet. Der Zeuge K. hat dort n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mlich angegeben: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„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Beifahrer w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ollte aussteigen (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…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) er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ffnete die 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nur ein bisschen und es hat geknallt.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“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(Bl. 25 der Ermittlungsakte). Diese Angabe st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tzt nicht nur die Annahme, der Beklagte zu 1) und der Zeuge K. 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tten die Unwahrzeit gesagt, sondern spricht auch 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die Richtigke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it der Behauptung der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gerin. Ob der Zeuge T. dar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 hinaus wirklich gesehen hat, dass die Autot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ber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hrt habe, kann letztlich offen bleiben. Der Senat tritt der W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rdigung des Landgerichts im Ergebnis jedenfalls bei.</w:t>
      </w:r>
    </w:p>
    <w:p w14:paraId="66A5276C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68E63532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25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b) Der Beklagte z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u 1) hat durch das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ffnen der Beifahrert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r gegen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14 Abs.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 StVO versto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en. Denn danach muss sich jemand, der ein- oder aussteigt, so verhalten, dass eine Gef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hrdung anderer Verkehrsteilnehmer ausgeschlossen ist. Das ist hier offensichtlich nicht geschehe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n, weil der Beklagte zu 1) die auf dem Fahrrad vorbeifahrende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gerin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bersehen und die 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trotzdem ge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ffnet hat.</w:t>
      </w:r>
    </w:p>
    <w:p w14:paraId="6293ACA2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5652AB27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26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2. Nicht gefolgt werden kann dem Landgericht allerdings in der Einsch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tzung, dass ein Sorgfaltspflichtversto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der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nicht festge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stellt werden k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nne. Denn schon aus dem Vorbringen der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selbst ergibt sich ein solcher Versto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.</w:t>
      </w:r>
    </w:p>
    <w:p w14:paraId="3C7CCB03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lastRenderedPageBreak/>
        <w:t xml:space="preserve"> </w:t>
      </w:r>
    </w:p>
    <w:p w14:paraId="1A8515BF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27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a) Anders als das Landgericht angenommen hat, ist das Verhalten der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gerin nicht an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5 Abs.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8 StVO zu messen.</w:t>
      </w:r>
    </w:p>
    <w:p w14:paraId="7EA00A30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5CB3D06B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28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5 Abs.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8 StVO erlaubt Fahrr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adfahrern als Ausnahme zu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5 Abs.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1 StVO, wonach links zu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berholen ist, unter bestimmten Umst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nden auf dem rechten Fahrstreifen wartende Fahrzeuge rechts zu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berholen. Hier lag jedoch kein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berholen i. S. d.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5 StVO vor.</w:t>
      </w:r>
    </w:p>
    <w:p w14:paraId="794F71CF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77CE0356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29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</w:r>
      <w:r>
        <w:rPr>
          <w:rFonts w:ascii="DejaVuSansCondensed,DejaVuSansC" w:hAnsi="DejaVuSansCondensed,DejaVuSansC" w:cs="DejaVuSansCondensed,DejaVuSansC"/>
          <w:sz w:val="19"/>
          <w:szCs w:val="19"/>
        </w:rPr>
        <w:t>„Ü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berholen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“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wird definiert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als der tats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chliche absichtslose Vorgang des Vorbeifahrens auf demselben Stra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enteil an einem anderen Verkehrsteilnehmer, der sich in derselben Richtung bewegt oder verkehrsbedingt (Weisung, Anordnung, Lichtzeichen, Verkehrslage) wartet (Senat, NZV 1998,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376, 377; K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nig in: Hentschel/K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nig/Dauer, Stra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enverkehrsrecht, 40. Auflage,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5 StVO, Rn. 16). Das Beklagtenfahrzeug hielt aber nicht verkehrsbedingt, also mit 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cksicht auf die Verkehrslage (vgl. He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in Burmann/He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/Jahnke/Janker, Stra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enverkehrsrecht, 2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1. Auflage,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5 StVO, Rn. 2), sondern um Insassen aussteigen zu lassen. Es wurde von der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gerin daher im Rechtssinne nicht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„ü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berholt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“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im Sinne des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5 StVO.</w:t>
      </w:r>
    </w:p>
    <w:p w14:paraId="3563053C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32CCA68A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30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An nicht verkehrsbedingt wartenden Verkehrsteilnehmern wird lediglich vorbeigefahren (K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nig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in: Hentschel/K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nig/Dauer, aaO,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5 StVO, Rn. 18).</w:t>
      </w:r>
    </w:p>
    <w:p w14:paraId="701DCA81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41EEB6EA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31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b)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hat die 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das Vorbeifahren geltenden Sorgfaltspflichten gem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 Abs.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2 StVO nicht beachtet, weil sie rechts an dem Beklagtenfahrzeug vorbeigefahren ist, obwohl der vorhandene Raum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nicht ausreichte, um den erforderlichen Sicherheitsabstand einzuhalten.</w:t>
      </w:r>
    </w:p>
    <w:p w14:paraId="7DEC192E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658EE24F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32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aa)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war verpflichtet, bei der Vorbeifahrt an dem Beklagtenfahrzeug einen ausreichenden Sicherheitsabstand einzuhalten.</w:t>
      </w:r>
    </w:p>
    <w:p w14:paraId="358CE06B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788A3C0A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33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Das auf der Stra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 haltende Beklagtenfahrz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eug stellte sich 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gerin als Hindernis dar. Denn als Hindernis i. S. d.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6 StVO gelten neben Absperrungen und sonstigen Hindernissen auch haltende Fahrzeuge (K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nig in Hentschel/K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nig/Dauer, aaO,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6 StVO, Rn. 3). Grunds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tzlich muss zwar aufgrund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des gem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2 Abs.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2 StVO geltenden Rechtsfahrgebotes an einem Hindernis rechts vorbeigefahren werden, aber nur, wenn dies m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glich (vgl. Heinrich, SVR 2006, 441, 442) und wegen des seitlichen Sicherheitsabstandes vertretbar ist (Zieres in Geigel, Der Haftp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flichtprozess, 25. Auflage, Kap. 27, Rn. 200). Letzteres ergibt sich aus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 Abs.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2 StVO.</w:t>
      </w:r>
    </w:p>
    <w:p w14:paraId="6A2E3D4C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0AF27B95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34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Denn die zu beachtenden Pflichten des Vorbeifahrenden gegen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ber dem haltenden Verkehrsteilnehmer folgen aus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 StVO (He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in Burmann/He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/Jahnke/Janker, aaO,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6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StVO, Rn. 1). Gem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 Abs.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2 StVO hat sich jeder Verkehrsteilnehmer u. a. so zu verhalten, dass kein anderer gef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hrdet wird. Daher ist gem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 Abs.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2 StVO bei der Vorbeifahrt an haltenden oder geparkten Fahrzeugen immer der erforderliche Sicherheitsabs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tand einzuhalten (vgl. OLG D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sseldorf, Urteil vom 11. Mai 2005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–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I-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​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 U 158/03, Juris-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​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Rn. 62 u. 69).</w:t>
      </w:r>
    </w:p>
    <w:p w14:paraId="137BB6FB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0C278956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35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bb) Anders als das Landgericht angenommen hat, reichte der von der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eingehaltene Sicherheitsabstand schon nach ihrem eigenen Vorbringen nicht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aus.</w:t>
      </w:r>
    </w:p>
    <w:p w14:paraId="63CC6D06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lastRenderedPageBreak/>
        <w:t xml:space="preserve"> </w:t>
      </w:r>
    </w:p>
    <w:p w14:paraId="347F75A4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36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Der bei dem Vorbeifahren an haltenden Fahrzeugen einzuhaltende ausreichende Sicherheitsabstand betr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gt - anders als von den Beklagten mit der Berufung gelten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d gemacht - zwar nicht stets mindestens 1 m, sondern lediglich im Grundsatz; er 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ngt im Zweifel von den Umst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nden des Einzelfalles, insbesondere den Stra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enverh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ltnissen ab (vgl. Senat, 12 U 480/94, VersR 1997, 73 = VRS 91, 465 ff; He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in Burmann/He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/Jahn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ke/Janker, aaO,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6, Rn. 6).</w:t>
      </w:r>
    </w:p>
    <w:p w14:paraId="18D0F517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23572509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37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macht hier geltend, die 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cke zwischen dem nahezu auf der Stra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enmitte haltenden Beklagtenfahrzeug und den schr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 in den Parkh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fen stehenden Fahrzeugen habe ca. 1,5 m betragen. Ob sich Personen in dem Beklagte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nfahrzeug befunden 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tten, habe sie nicht erkennen k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nnen, weil die Sonne geblendet habe. Das Fahrzeug habe nicht geblinkt.</w:t>
      </w:r>
    </w:p>
    <w:p w14:paraId="61348E27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383E5DBD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38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Aus den geschilderten Umst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nden ergibt sich, dass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gerin mit Insassen im Beklagtenfahrzeug rechnen musste, auch wenn sie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in dem mitten auf der Stra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 haltenden Fahrzeug wegen des blendenden Lichts nicht zu sehen waren. Es ergibt sich ferner, dass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nicht wusste, wie sie sich im n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chsten Moment verhalten w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rden. Denn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konnte den Grund 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das Halten des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Kfz nicht erkennen. Es befand sich offenbar in einer Warteposition, weil ein verkehrsbedingter Grund 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das Halten nicht zu erkennen war und mit dem Parken mitten auf der Stra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 ebenfalls nicht gerechnet werden konnte. Auch Anhaltspunkte 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eine Fahrzeu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gpanne ergaben sich 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nicht. Sie musste daher sowohl mit einem pl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tzlichen Fahrman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ver (etwa zum Einparken) als auch mit dem Aussteigen von Personen rechnen. Der nach Behauptung der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relativ gro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 Abstand zu den rechts geparkten Fahr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zeugen legte vor allen Dingen ein bevorstehendes Aussteigen nach rechts nahe, weil der Abstand zu den rechts parkenden Fahrzeugen gerade deshalb so gro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gew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hlt sein konnte, um das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ffnen der 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ren zu erleichtern. Diese Unsicherheit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 das weitere Verhal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ten der Fahrzeuginsassen verlangte von der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eine besonders gro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 Vorsicht bei dem Vorbeifahren an dem Beklagtenfahrzeug und 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tte daher einen besonders gro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en Sicherheitsabstand zu diesem erfordert.</w:t>
      </w:r>
    </w:p>
    <w:p w14:paraId="4B9EE0E5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292684BD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39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Zwar trifft die unter Bezugnahme auf eine En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tscheidung des OLG Hamm (NZV 2000, 126) vertretene Ansicht des Landgerichts generell zu, dass ein Radfahrer, der an einer Fahrzeugkolonne vorbeif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hrt, mit einem grob verkehrswidrigen Versto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gegen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14 StVO, n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mlich dem v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llig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berraschenden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ffnen der 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in unmittelbarer N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he des Fahrrades, nicht rechnen m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sse (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hnlich BGH, DAR 1981, 148, 149 bei der Vorbeifahrt an einem parkenden Fahrzeug). In diesen 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llen darf der Fahrradfahrer aber keine Anhaltspunkte daf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haben, dass mit einem 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ffnen zu rechnen i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st, weil es sich 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r ihn sonst nicht um ein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berraschendes 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ffnen handelt. Der Fall hier stellt sich anders dar.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fuhr nicht an einer Fahrzeugkolonne vorbei, sondern an einem ohne verkehrsbedingte Notwendigkeit mitten auf der Stra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 haltende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n Kfz. Daher musste sie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–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wenn nicht mit einem Fahrman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ver nach rechts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–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jedoch mit dem Aussteigen von Personen nach rechts rechnen und dies bei der Bemessung des Sicherheitsabstands ber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cksichtigen.</w:t>
      </w:r>
    </w:p>
    <w:p w14:paraId="45BF0E71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4D99DF57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40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 xml:space="preserve">Zudem musste auch ein ausreichender Abstand zu den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rechts parkenden Fahrzeugen gehalten werden, weil ein Ausparken nach schr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 hinten, also in Richtung auf die links an den parkenden Fahrzeugen vorbeifahrende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gerin, in Betracht gezogen werden musste.</w:t>
      </w:r>
    </w:p>
    <w:p w14:paraId="2319E1BA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32F55D3C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41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hatte daher bei ihrer Vorbeifahrt a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 dem Beklagtenfahrzeug Gefahren aus zwei Richtungen in Rechnung zu stellen und den Sicherheitsabstand zu beiden Seiten gen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gend gro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zu w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hlen.</w:t>
      </w:r>
    </w:p>
    <w:p w14:paraId="0A069746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39E60F0E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42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Nimmt man an, dass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selbst auf ihrem Fahrrad ca. 0,6 m des Fahrstreifens einnimmt, so verblieb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e nach links und rechts jeweils nur eine Sicherheitsabstand von ca. 0,45 m, was keinesfalls einen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lastRenderedPageBreak/>
        <w:t>noch ausreichenden Sicherheitsabstand darstellte (vgl. Senat, 12 U 3780/84, VersR 1986, 1123; 12 U 78/09, VM 1990, 58 Nr.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78); denn schon ein geringf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giges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fnen der 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r, mit dem der flie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ende Verkehr und mithin auch Fahrradfahrer ohnehin immer zu rechnen haben (BGH, DAR 1981, 148, 149), 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tte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in Bedr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ngnis gebracht. Dabei muss noch weiter ber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cksichtigt werden, dass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nach eigenen Anga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ben mit einer relativ geringen Geschwindigkeit an dem Beklagtenfahrzeug vorbei gefahren sein will (ungef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hr 10 km/h, Protokoll der m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ndlichen Verhandlung vom 21. April 2009), was zus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tzlich die Gefahr einer schwankenden Fahrweise begr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ndet. Zusammen betrac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htet reichte der insgesamt vorhandene Zwischenraum von ca. 1,5 m f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eine gefahrlose Vorbeifahrt an dem in Warteposition befindlichen Beklagtenfahrzeug nicht aus.</w:t>
      </w:r>
    </w:p>
    <w:p w14:paraId="49DC4F85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23E38D71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43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3. Im Rahmen der Abw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gung der jeweiligen Verursachungs- und Verschuldensanteile gem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254 BGB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berwiegt der Versto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gegen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14 Abs.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 StVO.</w:t>
      </w:r>
    </w:p>
    <w:p w14:paraId="6BB5DFA5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3B51B49A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44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Die Fahrzeugt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durfte, auch wenn das Beklagtenfahrzeug wesentlich n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her an den geparkten Kfz gestanden haben sollte, nicht ohne 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cksicht auf sonstige Verkehrsteilnehmer ge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ffnet werden. Auch nach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dem Vortrag der Beklagten passte ein Fahrradfahrer noch durch die verbleibende 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cke zu den rechts geparkten Kfz. Dann war dort auch mit vorbeifahrenden Fahrradfahrern zu rechnen.</w:t>
      </w:r>
    </w:p>
    <w:p w14:paraId="488A54EE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7DE91842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45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Wegen der gem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14 Abs.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1 StVO gesteigerten Sorgfaltspflicht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berwie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gt der Versto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gegen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14 Abs.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 StVO durch pl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tzliches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ffnen der T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 in jedem Fall den Versto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gegen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§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1 Abs.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 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2 StVO durch einen zu gering gew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hlten Abstand beim Vorbeifahren. Auf der Grundlage des von der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vorgetragenen Sachverhalts nimmt der Se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nat eine Haftung von 75 % zu 25 % zu Gunsten der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an.</w:t>
      </w:r>
    </w:p>
    <w:p w14:paraId="72548818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2FF6051E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46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Einen geringeren Abstand haben die Beklagten nicht beweisen k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nnen. Die Aussage des Zeugen T. ist insoweit zu unbestimmt und die Beklagten zu 1) sowie der Zeuge K. sind aus den bereits oben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er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rterten Gr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nden unglaubw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rdig.</w:t>
      </w:r>
    </w:p>
    <w:p w14:paraId="0C2F283E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08278BEC" w14:textId="77777777" w:rsidR="00000000" w:rsidRDefault="00844540">
      <w:pPr>
        <w:widowControl w:val="0"/>
        <w:tabs>
          <w:tab w:val="left" w:pos="3390"/>
        </w:tabs>
        <w:autoSpaceDE w:val="0"/>
        <w:autoSpaceDN w:val="0"/>
        <w:adjustRightInd w:val="0"/>
        <w:spacing w:before="218" w:after="218" w:line="240" w:lineRule="auto"/>
        <w:ind w:left="33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III.</w:t>
      </w:r>
    </w:p>
    <w:p w14:paraId="702F9574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6C85703C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47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Der Senat schl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gt den Parteien den folgenden Vergleich vor:</w:t>
      </w:r>
    </w:p>
    <w:p w14:paraId="562F999E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7B252AEC" w14:textId="77777777" w:rsidR="00000000" w:rsidRDefault="00844540">
      <w:pPr>
        <w:widowControl w:val="0"/>
        <w:tabs>
          <w:tab w:val="left" w:pos="2310"/>
        </w:tabs>
        <w:autoSpaceDE w:val="0"/>
        <w:autoSpaceDN w:val="0"/>
        <w:adjustRightInd w:val="0"/>
        <w:spacing w:before="218" w:after="218" w:line="240" w:lineRule="auto"/>
        <w:ind w:left="231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48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1. Die Beklagten verpflichten sich als Gesamtschuldner, an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ein Schmerzensgeld in 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he von weiteren 3.125,00 EUR nebst Zinsen in 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he von 5 Prozentpunkten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 dem jeweiligen Basiszinssatz seit dem 28. M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rz 2008 zu zahlen.</w:t>
      </w:r>
    </w:p>
    <w:p w14:paraId="5BEC887C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1C3CD47E" w14:textId="77777777" w:rsidR="00000000" w:rsidRDefault="00844540">
      <w:pPr>
        <w:widowControl w:val="0"/>
        <w:tabs>
          <w:tab w:val="left" w:pos="2310"/>
        </w:tabs>
        <w:autoSpaceDE w:val="0"/>
        <w:autoSpaceDN w:val="0"/>
        <w:adjustRightInd w:val="0"/>
        <w:spacing w:before="218" w:after="218" w:line="240" w:lineRule="auto"/>
        <w:ind w:left="231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49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2. Die Beklagten verpflichten sich als Gesamtschuldner, an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209,77 EUR nebst Zinsen in 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he von 5 Pr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ozentpunkten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 dem jeweiligen Basiszinssatz seit dem 19. August 2008 zu zahlen.</w:t>
      </w:r>
    </w:p>
    <w:p w14:paraId="64B09846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65CE9F9A" w14:textId="77777777" w:rsidR="00000000" w:rsidRDefault="00844540">
      <w:pPr>
        <w:widowControl w:val="0"/>
        <w:tabs>
          <w:tab w:val="left" w:pos="2310"/>
        </w:tabs>
        <w:autoSpaceDE w:val="0"/>
        <w:autoSpaceDN w:val="0"/>
        <w:adjustRightInd w:val="0"/>
        <w:spacing w:before="218" w:after="218" w:line="240" w:lineRule="auto"/>
        <w:ind w:left="231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50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3. Die Beklagten verpflichten sich als Gesamtschuldner, der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dem Grunde nach 75 % s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mtlicher zuk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nftigen materiellen und immateriellen Sch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den aus dem Verkehrsu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nfallereignis vom 22. Juni 2007 um 14:30 Uhr auf der Pestalozzistra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 in 10627 Berlin zu ersetzen, soweit die Anspr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che nicht auf Sozialversicherungstr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ger oder sonstige Dritte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bergegangen sind oder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lastRenderedPageBreak/>
        <w:t xml:space="preserve">noch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bergehen.</w:t>
      </w:r>
    </w:p>
    <w:p w14:paraId="42CDBF8C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6A3A2736" w14:textId="77777777" w:rsidR="00000000" w:rsidRDefault="00844540">
      <w:pPr>
        <w:widowControl w:val="0"/>
        <w:tabs>
          <w:tab w:val="left" w:pos="2310"/>
        </w:tabs>
        <w:autoSpaceDE w:val="0"/>
        <w:autoSpaceDN w:val="0"/>
        <w:adjustRightInd w:val="0"/>
        <w:spacing w:before="218" w:after="218" w:line="240" w:lineRule="auto"/>
        <w:ind w:left="231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51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 xml:space="preserve">4. Die Beklagten verpflichten sich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als Gesamtschuldner, an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au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ß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ergerichtliche Rechtsanwaltskosten in 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he von 587,68 EUR nebst Zinsen in H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ö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he von 5 Prozentpunkten 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ü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ber dem jeweiligen Basiszinssatz seit dem 19. August 2008 zu zahlen.</w:t>
      </w:r>
    </w:p>
    <w:p w14:paraId="53FF3C26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01B36F7A" w14:textId="77777777" w:rsidR="00000000" w:rsidRDefault="00844540">
      <w:pPr>
        <w:widowControl w:val="0"/>
        <w:tabs>
          <w:tab w:val="left" w:pos="2310"/>
        </w:tabs>
        <w:autoSpaceDE w:val="0"/>
        <w:autoSpaceDN w:val="0"/>
        <w:adjustRightInd w:val="0"/>
        <w:spacing w:before="218" w:after="218" w:line="240" w:lineRule="auto"/>
        <w:ind w:left="231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>52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ab/>
        <w:t>5. Von den Kosten des Rechtsstreits und d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ieses Vergleichs tr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gt die Kl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ä</w:t>
      </w:r>
      <w:r>
        <w:rPr>
          <w:rFonts w:ascii="DejaVuSansCondensed,DejaVuSansC" w:hAnsi="DejaVuSansCondensed,DejaVuSansC" w:cs="DejaVuSansCondensed,DejaVuSansC"/>
          <w:sz w:val="19"/>
          <w:szCs w:val="19"/>
        </w:rPr>
        <w:t>gerin 25 % und tragen die Beklagten als Gesamtschuldner 75 %.</w:t>
      </w:r>
    </w:p>
    <w:p w14:paraId="5BC83D7C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2BEBB7A9" w14:textId="77777777" w:rsidR="00000000" w:rsidRDefault="00844540">
      <w:pPr>
        <w:widowControl w:val="0"/>
        <w:tabs>
          <w:tab w:val="left" w:pos="1590"/>
        </w:tabs>
        <w:autoSpaceDE w:val="0"/>
        <w:autoSpaceDN w:val="0"/>
        <w:adjustRightInd w:val="0"/>
        <w:spacing w:before="218" w:after="218" w:line="240" w:lineRule="auto"/>
        <w:ind w:left="1590" w:hanging="78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ab/>
      </w:r>
    </w:p>
    <w:p w14:paraId="0CF1914F" w14:textId="77777777" w:rsidR="00000000" w:rsidRDefault="00844540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40" w:lineRule="auto"/>
        <w:ind w:left="810"/>
        <w:rPr>
          <w:rFonts w:ascii="DejaVuSansCondensed,DejaVuSansC" w:hAnsi="DejaVuSansCondensed,DejaVuSansC" w:cs="DejaVuSansCondensed,DejaVuSansC"/>
          <w:sz w:val="19"/>
          <w:szCs w:val="19"/>
        </w:rPr>
      </w:pPr>
      <w:r>
        <w:rPr>
          <w:rFonts w:ascii="DejaVuSansCondensed,DejaVuSansC" w:hAnsi="DejaVuSansCondensed,DejaVuSansC" w:cs="DejaVuSansCondensed,DejaVuSansC"/>
          <w:sz w:val="19"/>
          <w:szCs w:val="19"/>
        </w:rPr>
        <w:t xml:space="preserve"> </w:t>
      </w:r>
    </w:p>
    <w:p w14:paraId="2A603F0B" w14:textId="77777777" w:rsidR="00000000" w:rsidRDefault="00844540">
      <w:pPr>
        <w:widowControl w:val="0"/>
        <w:tabs>
          <w:tab w:val="left" w:pos="405"/>
        </w:tabs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495F5D71" w14:textId="77777777" w:rsidR="00000000" w:rsidRDefault="0084454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DejaVuSansCondensed,DejaVuSansC" w:hAnsi="DejaVuSansCondensed,DejaVuSansC" w:cs="DejaVuSansCondensed,DejaVuSansC"/>
          <w:color w:val="000000"/>
          <w:sz w:val="24"/>
          <w:szCs w:val="24"/>
        </w:rPr>
      </w:pPr>
    </w:p>
    <w:p w14:paraId="6A9086B9" w14:textId="77777777" w:rsidR="00000000" w:rsidRDefault="0084454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DejaVuSansCondensed,DejaVuSansC" w:hAnsi="DejaVuSansCondensed,DejaVuSansC" w:cs="DejaVuSansCondensed,DejaVuSansC"/>
          <w:color w:val="000000"/>
          <w:sz w:val="24"/>
          <w:szCs w:val="24"/>
        </w:rPr>
      </w:pPr>
      <w:r>
        <w:rPr>
          <w:rFonts w:ascii="DejaVuSansCondensed,DejaVuSansC" w:hAnsi="DejaVuSansCondensed,DejaVuSansC" w:cs="DejaVuSansCondensed,DejaVuSansC"/>
          <w:color w:val="000000"/>
          <w:sz w:val="24"/>
          <w:szCs w:val="24"/>
        </w:rPr>
        <w:t xml:space="preserve"> </w:t>
      </w:r>
    </w:p>
    <w:p w14:paraId="458D5CC5" w14:textId="77777777" w:rsidR="00844540" w:rsidRDefault="008445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44540">
      <w:headerReference w:type="even" r:id="rId7"/>
      <w:headerReference w:type="default" r:id="rId8"/>
      <w:footerReference w:type="default" r:id="rId9"/>
      <w:pgSz w:w="11900" w:h="16840"/>
      <w:pgMar w:top="1280" w:right="1020" w:bottom="560" w:left="1140" w:header="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68F66" w14:textId="77777777" w:rsidR="00844540" w:rsidRDefault="00844540">
      <w:pPr>
        <w:spacing w:after="0" w:line="240" w:lineRule="auto"/>
      </w:pPr>
      <w:r>
        <w:separator/>
      </w:r>
    </w:p>
  </w:endnote>
  <w:endnote w:type="continuationSeparator" w:id="0">
    <w:p w14:paraId="63B485AC" w14:textId="77777777" w:rsidR="00844540" w:rsidRDefault="00844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Condensed,DejaVuSans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03B6D" w14:textId="77777777" w:rsidR="00000000" w:rsidRDefault="00844540">
    <w:pPr>
      <w:widowControl w:val="0"/>
      <w:tabs>
        <w:tab w:val="left" w:pos="283"/>
      </w:tabs>
      <w:autoSpaceDE w:val="0"/>
      <w:autoSpaceDN w:val="0"/>
      <w:adjustRightInd w:val="0"/>
      <w:spacing w:before="283" w:after="283" w:line="240" w:lineRule="auto"/>
      <w:ind w:left="283"/>
      <w:jc w:val="center"/>
      <w:rPr>
        <w:rFonts w:ascii="DejaVuSansCondensed" w:hAnsi="DejaVuSansCondensed" w:cs="DejaVuSansCondensed"/>
        <w:sz w:val="20"/>
        <w:szCs w:val="20"/>
      </w:rPr>
    </w:pPr>
    <w:r>
      <w:rPr>
        <w:rFonts w:ascii="DejaVuSansCondensed" w:hAnsi="DejaVuSansCondensed" w:cs="DejaVuSansCondensed"/>
        <w:sz w:val="20"/>
        <w:szCs w:val="20"/>
      </w:rPr>
      <w:t xml:space="preserve">- Seite </w:t>
    </w:r>
    <w:r>
      <w:rPr>
        <w:rFonts w:ascii="DejaVuSansCondensed" w:hAnsi="DejaVuSansCondensed" w:cs="DejaVuSansCondensed"/>
        <w:sz w:val="20"/>
        <w:szCs w:val="20"/>
      </w:rPr>
      <w:fldChar w:fldCharType="begin"/>
    </w:r>
    <w:r>
      <w:rPr>
        <w:rFonts w:ascii="DejaVuSansCondensed" w:hAnsi="DejaVuSansCondensed" w:cs="DejaVuSansCondensed"/>
        <w:sz w:val="20"/>
        <w:szCs w:val="20"/>
      </w:rPr>
      <w:instrText xml:space="preserve">PAGE </w:instrText>
    </w:r>
    <w:r w:rsidR="00761D52">
      <w:rPr>
        <w:rFonts w:ascii="DejaVuSansCondensed" w:hAnsi="DejaVuSansCondensed" w:cs="DejaVuSansCondensed"/>
        <w:sz w:val="20"/>
        <w:szCs w:val="20"/>
      </w:rPr>
      <w:fldChar w:fldCharType="separate"/>
    </w:r>
    <w:r w:rsidR="00761D52">
      <w:rPr>
        <w:rFonts w:ascii="DejaVuSansCondensed" w:hAnsi="DejaVuSansCondensed" w:cs="DejaVuSansCondensed"/>
        <w:noProof/>
        <w:sz w:val="20"/>
        <w:szCs w:val="20"/>
      </w:rPr>
      <w:t>1</w:t>
    </w:r>
    <w:r>
      <w:rPr>
        <w:rFonts w:ascii="DejaVuSansCondensed" w:hAnsi="DejaVuSansCondensed" w:cs="DejaVuSansCondensed"/>
        <w:sz w:val="20"/>
        <w:szCs w:val="20"/>
      </w:rPr>
      <w:fldChar w:fldCharType="end"/>
    </w:r>
    <w:r>
      <w:rPr>
        <w:rFonts w:ascii="DejaVuSansCondensed" w:hAnsi="DejaVuSansCondensed" w:cs="DejaVuSansCondensed"/>
        <w:sz w:val="20"/>
        <w:szCs w:val="20"/>
      </w:rPr>
      <w:t xml:space="preserve"> von </w:t>
    </w:r>
    <w:r>
      <w:rPr>
        <w:rFonts w:ascii="DejaVuSansCondensed" w:hAnsi="DejaVuSansCondensed" w:cs="DejaVuSansCondensed"/>
        <w:sz w:val="20"/>
        <w:szCs w:val="20"/>
      </w:rPr>
      <w:fldChar w:fldCharType="begin"/>
    </w:r>
    <w:r>
      <w:rPr>
        <w:rFonts w:ascii="DejaVuSansCondensed" w:hAnsi="DejaVuSansCondensed" w:cs="DejaVuSansCondensed"/>
        <w:sz w:val="20"/>
        <w:szCs w:val="20"/>
      </w:rPr>
      <w:instrText>NUMPAGES</w:instrText>
    </w:r>
    <w:r w:rsidR="00761D52">
      <w:rPr>
        <w:rFonts w:ascii="DejaVuSansCondensed" w:hAnsi="DejaVuSansCondensed" w:cs="DejaVuSansCondensed"/>
        <w:sz w:val="20"/>
        <w:szCs w:val="20"/>
      </w:rPr>
      <w:fldChar w:fldCharType="separate"/>
    </w:r>
    <w:r w:rsidR="00761D52">
      <w:rPr>
        <w:rFonts w:ascii="DejaVuSansCondensed" w:hAnsi="DejaVuSansCondensed" w:cs="DejaVuSansCondensed"/>
        <w:noProof/>
        <w:sz w:val="20"/>
        <w:szCs w:val="20"/>
      </w:rPr>
      <w:t>2</w:t>
    </w:r>
    <w:r>
      <w:rPr>
        <w:rFonts w:ascii="DejaVuSansCondensed" w:hAnsi="DejaVuSansCondensed" w:cs="DejaVuSansCondensed"/>
        <w:sz w:val="20"/>
        <w:szCs w:val="20"/>
      </w:rPr>
      <w:fldChar w:fldCharType="end"/>
    </w:r>
    <w:r>
      <w:rPr>
        <w:rFonts w:ascii="DejaVuSansCondensed" w:hAnsi="DejaVuSansCondensed" w:cs="DejaVuSansCondensed"/>
        <w:sz w:val="20"/>
        <w:szCs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61F37" w14:textId="77777777" w:rsidR="00844540" w:rsidRDefault="00844540">
      <w:pPr>
        <w:spacing w:after="0" w:line="240" w:lineRule="auto"/>
      </w:pPr>
      <w:r>
        <w:separator/>
      </w:r>
    </w:p>
  </w:footnote>
  <w:footnote w:type="continuationSeparator" w:id="0">
    <w:p w14:paraId="13B41600" w14:textId="77777777" w:rsidR="00844540" w:rsidRDefault="00844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C4D6" w14:textId="77777777" w:rsidR="00000000" w:rsidRDefault="0084454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F3E29" w14:textId="77777777" w:rsidR="00000000" w:rsidRDefault="00844540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52"/>
    <w:rsid w:val="00761D52"/>
    <w:rsid w:val="0084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E47431"/>
  <w14:defaultImageDpi w14:val="0"/>
  <w15:docId w15:val="{C8F1AB1E-1690-4AA9-A8D2-12D1C043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710A8B61D81F34395C915518FC14998" ma:contentTypeVersion="9" ma:contentTypeDescription="Ein neues Dokument erstellen." ma:contentTypeScope="" ma:versionID="37b1708e7f4fd0739fff849c7b677c65">
  <xsd:schema xmlns:xsd="http://www.w3.org/2001/XMLSchema" xmlns:xs="http://www.w3.org/2001/XMLSchema" xmlns:p="http://schemas.microsoft.com/office/2006/metadata/properties" xmlns:ns2="ed57e9c6-3f4c-4326-8b3c-4cf6201adb71" xmlns:ns3="e9953930-3a8f-4402-aa57-ad96604adab5" targetNamespace="http://schemas.microsoft.com/office/2006/metadata/properties" ma:root="true" ma:fieldsID="bf3cf296b387679478367061391b1bf7" ns2:_="" ns3:_="">
    <xsd:import namespace="ed57e9c6-3f4c-4326-8b3c-4cf6201adb71"/>
    <xsd:import namespace="e9953930-3a8f-4402-aa57-ad96604ada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7e9c6-3f4c-4326-8b3c-4cf6201ad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53930-3a8f-4402-aa57-ad96604ada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A3D3FA-0430-4558-A459-55D4FB22F212}"/>
</file>

<file path=customXml/itemProps2.xml><?xml version="1.0" encoding="utf-8"?>
<ds:datastoreItem xmlns:ds="http://schemas.openxmlformats.org/officeDocument/2006/customXml" ds:itemID="{57DD77F7-A5E0-4121-86BC-258192586F32}"/>
</file>

<file path=customXml/itemProps3.xml><?xml version="1.0" encoding="utf-8"?>
<ds:datastoreItem xmlns:ds="http://schemas.openxmlformats.org/officeDocument/2006/customXml" ds:itemID="{88EA00EB-F8B9-48B1-A41C-F3767AD2BD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2781</Words>
  <Characters>17527</Characters>
  <Application>Microsoft Office Word</Application>
  <DocSecurity>0</DocSecurity>
  <Lines>146</Lines>
  <Paragraphs>40</Paragraphs>
  <ScaleCrop>false</ScaleCrop>
  <Company/>
  <LinksUpToDate>false</LinksUpToDate>
  <CharactersWithSpaces>20268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Martin</dc:creator>
  <cp:keywords/>
  <dc:description/>
  <cp:lastModifiedBy>Carmen Martin</cp:lastModifiedBy>
  <cp:revision>2</cp:revision>
  <dcterms:created xsi:type="dcterms:W3CDTF">2024-03-05T16:24:00Z</dcterms:created>
  <dcterms:modified xsi:type="dcterms:W3CDTF">2024-03-05T16:24:00Z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0x010100D710A8B61D81F34395C915518FC14998</vt:lpwstr>
  </property>
</Properties>
</file>