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AC74"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17"/>
        <w:gridCol w:w="6808"/>
      </w:tblGrid>
      <w:tr w:rsidR="00221302" w14:paraId="4B30C0F9" w14:textId="77777777">
        <w:tc>
          <w:tcPr>
            <w:tcW w:w="2925" w:type="dxa"/>
            <w:tcBorders>
              <w:top w:val="nil"/>
              <w:left w:val="nil"/>
              <w:bottom w:val="nil"/>
              <w:right w:val="nil"/>
            </w:tcBorders>
            <w:tcMar>
              <w:top w:w="15" w:type="dxa"/>
              <w:left w:w="15" w:type="dxa"/>
              <w:bottom w:w="15" w:type="dxa"/>
              <w:right w:w="15" w:type="dxa"/>
            </w:tcMar>
          </w:tcPr>
          <w:p w14:paraId="5CDE8A0C"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6062D921"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OLG Koblenz 12. Zivil</w:t>
            </w:r>
            <w:r>
              <w:rPr>
                <w:rFonts w:ascii="DejaVuSansCondensed,DejaVuSansC" w:hAnsi="DejaVuSansCondensed,DejaVuSansC" w:cs="DejaVuSansCondensed,DejaVuSansC"/>
                <w:kern w:val="0"/>
                <w:sz w:val="19"/>
                <w:szCs w:val="19"/>
              </w:rPr>
              <w:softHyphen/>
              <w:t>senat</w:t>
            </w:r>
          </w:p>
        </w:tc>
      </w:tr>
      <w:tr w:rsidR="00221302" w14:paraId="516466BA" w14:textId="77777777">
        <w:tc>
          <w:tcPr>
            <w:tcW w:w="2925" w:type="dxa"/>
            <w:tcBorders>
              <w:top w:val="nil"/>
              <w:left w:val="nil"/>
              <w:bottom w:val="nil"/>
              <w:right w:val="nil"/>
            </w:tcBorders>
            <w:tcMar>
              <w:top w:w="15" w:type="dxa"/>
              <w:left w:w="15" w:type="dxa"/>
              <w:bottom w:w="15" w:type="dxa"/>
              <w:right w:w="15" w:type="dxa"/>
            </w:tcMar>
          </w:tcPr>
          <w:p w14:paraId="2867DF35"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33EACA6C"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03.08.1992</w:t>
            </w:r>
          </w:p>
        </w:tc>
      </w:tr>
      <w:tr w:rsidR="00221302" w14:paraId="4628FF36" w14:textId="77777777">
        <w:tc>
          <w:tcPr>
            <w:tcW w:w="2925" w:type="dxa"/>
            <w:tcBorders>
              <w:top w:val="nil"/>
              <w:left w:val="nil"/>
              <w:bottom w:val="nil"/>
              <w:right w:val="nil"/>
            </w:tcBorders>
            <w:tcMar>
              <w:top w:w="15" w:type="dxa"/>
              <w:left w:w="15" w:type="dxa"/>
              <w:bottom w:w="15" w:type="dxa"/>
              <w:right w:w="15" w:type="dxa"/>
            </w:tcMar>
          </w:tcPr>
          <w:p w14:paraId="13C5D114"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26F2A823"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 U 1034/91</w:t>
            </w:r>
          </w:p>
        </w:tc>
      </w:tr>
      <w:tr w:rsidR="00221302" w14:paraId="17CC6425" w14:textId="77777777">
        <w:tc>
          <w:tcPr>
            <w:tcW w:w="2925" w:type="dxa"/>
            <w:tcBorders>
              <w:top w:val="nil"/>
              <w:left w:val="nil"/>
              <w:bottom w:val="nil"/>
              <w:right w:val="nil"/>
            </w:tcBorders>
            <w:tcMar>
              <w:top w:w="15" w:type="dxa"/>
              <w:left w:w="15" w:type="dxa"/>
              <w:bottom w:w="15" w:type="dxa"/>
              <w:right w:w="15" w:type="dxa"/>
            </w:tcMar>
          </w:tcPr>
          <w:p w14:paraId="2DD392CF"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ECLI:</w:t>
            </w:r>
          </w:p>
        </w:tc>
        <w:tc>
          <w:tcPr>
            <w:tcW w:w="6826" w:type="dxa"/>
            <w:tcBorders>
              <w:top w:val="nil"/>
              <w:left w:val="nil"/>
              <w:bottom w:val="nil"/>
              <w:right w:val="nil"/>
            </w:tcBorders>
            <w:tcMar>
              <w:top w:w="15" w:type="dxa"/>
              <w:left w:w="15" w:type="dxa"/>
              <w:bottom w:w="15" w:type="dxa"/>
              <w:right w:w="15" w:type="dxa"/>
            </w:tcMar>
          </w:tcPr>
          <w:p w14:paraId="28B3E106"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ECLI:</w:t>
            </w:r>
            <w:proofErr w:type="gramStart"/>
            <w:r>
              <w:rPr>
                <w:rFonts w:ascii="DejaVuSansCondensed,DejaVuSansC" w:hAnsi="DejaVuSansCondensed,DejaVuSansC" w:cs="DejaVuSansCondensed,DejaVuSansC"/>
                <w:kern w:val="0"/>
                <w:sz w:val="19"/>
                <w:szCs w:val="19"/>
              </w:rPr>
              <w:t>DE:OLGKOBL</w:t>
            </w:r>
            <w:proofErr w:type="gramEnd"/>
            <w:r>
              <w:rPr>
                <w:rFonts w:ascii="DejaVuSansCondensed,DejaVuSansC" w:hAnsi="DejaVuSansCondensed,DejaVuSansC" w:cs="DejaVuSansCondensed,DejaVuSansC"/>
                <w:kern w:val="0"/>
                <w:sz w:val="19"/>
                <w:szCs w:val="19"/>
              </w:rPr>
              <w:t>:1992:0803.12U1034.91.0A</w:t>
            </w:r>
          </w:p>
        </w:tc>
      </w:tr>
      <w:tr w:rsidR="00221302" w14:paraId="0EFE9162" w14:textId="77777777">
        <w:tc>
          <w:tcPr>
            <w:tcW w:w="2925" w:type="dxa"/>
            <w:tcBorders>
              <w:top w:val="nil"/>
              <w:left w:val="nil"/>
              <w:bottom w:val="nil"/>
              <w:right w:val="nil"/>
            </w:tcBorders>
            <w:tcMar>
              <w:top w:w="15" w:type="dxa"/>
              <w:left w:w="15" w:type="dxa"/>
              <w:bottom w:w="15" w:type="dxa"/>
              <w:right w:w="15" w:type="dxa"/>
            </w:tcMar>
          </w:tcPr>
          <w:p w14:paraId="172AA56D"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5A191319"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571C1446" w14:textId="77777777" w:rsidR="00B41097" w:rsidRDefault="00B41097">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221302" w14:paraId="5F76B76B" w14:textId="77777777">
        <w:tc>
          <w:tcPr>
            <w:tcW w:w="2925" w:type="dxa"/>
            <w:tcBorders>
              <w:top w:val="nil"/>
              <w:left w:val="nil"/>
              <w:bottom w:val="nil"/>
              <w:right w:val="nil"/>
            </w:tcBorders>
            <w:tcMar>
              <w:top w:w="15" w:type="dxa"/>
              <w:left w:w="15" w:type="dxa"/>
              <w:bottom w:w="15" w:type="dxa"/>
              <w:right w:w="15" w:type="dxa"/>
            </w:tcMar>
          </w:tcPr>
          <w:p w14:paraId="6B4299B1"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750F1A74" w14:textId="057DEE8A"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3347C906" wp14:editId="0117B4C1">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221302" w14:paraId="23219CF2" w14:textId="77777777">
        <w:tc>
          <w:tcPr>
            <w:tcW w:w="2925" w:type="dxa"/>
            <w:tcBorders>
              <w:top w:val="nil"/>
              <w:left w:val="nil"/>
              <w:bottom w:val="nil"/>
              <w:right w:val="nil"/>
            </w:tcBorders>
            <w:tcMar>
              <w:top w:w="15" w:type="dxa"/>
              <w:left w:w="15" w:type="dxa"/>
              <w:bottom w:w="15" w:type="dxa"/>
              <w:right w:w="15" w:type="dxa"/>
            </w:tcMar>
          </w:tcPr>
          <w:p w14:paraId="686777A2"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6465740A"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1 StVO, § 6 StVO, § 7 Abs 2 StVG, § 17 StVG</w:t>
            </w:r>
          </w:p>
        </w:tc>
      </w:tr>
      <w:tr w:rsidR="00221302" w14:paraId="2FC9CC20" w14:textId="77777777">
        <w:tc>
          <w:tcPr>
            <w:tcW w:w="2925" w:type="dxa"/>
            <w:tcBorders>
              <w:top w:val="nil"/>
              <w:left w:val="nil"/>
              <w:bottom w:val="nil"/>
              <w:right w:val="nil"/>
            </w:tcBorders>
            <w:tcMar>
              <w:top w:w="15" w:type="dxa"/>
              <w:left w:w="15" w:type="dxa"/>
              <w:bottom w:w="15" w:type="dxa"/>
              <w:right w:w="15" w:type="dxa"/>
            </w:tcMar>
          </w:tcPr>
          <w:p w14:paraId="5B8EA650"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0A8F1FF6"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OLG Koblenz, Urteil vom 3. August 1992 – 12 U 1034/91 –, </w:t>
            </w:r>
            <w:proofErr w:type="spellStart"/>
            <w:r>
              <w:rPr>
                <w:rFonts w:ascii="DejaVuSansCondensed,DejaVuSansC" w:hAnsi="DejaVuSansCondensed,DejaVuSansC" w:cs="DejaVuSansCondensed,DejaVuSansC"/>
                <w:kern w:val="0"/>
                <w:sz w:val="19"/>
                <w:szCs w:val="19"/>
              </w:rPr>
              <w:t>juris</w:t>
            </w:r>
            <w:proofErr w:type="spellEnd"/>
          </w:p>
        </w:tc>
      </w:tr>
    </w:tbl>
    <w:p w14:paraId="6BA8C475" w14:textId="77777777" w:rsidR="00B41097" w:rsidRDefault="00B41097">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4485BEBB"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59F2DA15" w14:textId="77777777" w:rsidR="00B41097" w:rsidRDefault="00B41097">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54A542C7" w14:textId="77777777" w:rsidR="00B41097" w:rsidRDefault="00B41097">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 xml:space="preserve">Verkehrsunfall: Sorgfaltspflichten bei der Vorbeifahrt </w:t>
      </w:r>
      <w:proofErr w:type="gramStart"/>
      <w:r>
        <w:rPr>
          <w:rFonts w:ascii="DejaVuSansCondensed,DejaVuSansC" w:hAnsi="DejaVuSansCondensed,DejaVuSansC" w:cs="DejaVuSansCondensed,DejaVuSansC"/>
          <w:b/>
          <w:bCs/>
          <w:kern w:val="0"/>
          <w:sz w:val="19"/>
          <w:szCs w:val="19"/>
        </w:rPr>
        <w:t>an haltenden</w:t>
      </w:r>
      <w:proofErr w:type="gramEnd"/>
      <w:r>
        <w:rPr>
          <w:rFonts w:ascii="DejaVuSansCondensed,DejaVuSansC" w:hAnsi="DejaVuSansCondensed,DejaVuSansC" w:cs="DejaVuSansCondensed,DejaVuSansC"/>
          <w:b/>
          <w:bCs/>
          <w:kern w:val="0"/>
          <w:sz w:val="19"/>
          <w:szCs w:val="19"/>
        </w:rPr>
        <w:t xml:space="preserve"> Fahrzeugen</w:t>
      </w:r>
    </w:p>
    <w:p w14:paraId="62FF9C64" w14:textId="77777777" w:rsidR="00B41097" w:rsidRDefault="00B41097">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031F88D7" w14:textId="77777777" w:rsidR="00B41097" w:rsidRDefault="00B41097">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Leitsatz</w:t>
      </w:r>
    </w:p>
    <w:p w14:paraId="6BD151C8" w14:textId="77777777" w:rsidR="00B41097" w:rsidRDefault="00B41097">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83B4FE8" w14:textId="77777777" w:rsidR="00B41097" w:rsidRDefault="00B41097">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1. Wer links </w:t>
      </w:r>
      <w:proofErr w:type="gramStart"/>
      <w:r>
        <w:rPr>
          <w:rFonts w:ascii="DejaVuSansCondensed,DejaVuSansC" w:hAnsi="DejaVuSansCondensed,DejaVuSansC" w:cs="DejaVuSansCondensed,DejaVuSansC"/>
          <w:kern w:val="0"/>
          <w:sz w:val="19"/>
          <w:szCs w:val="19"/>
        </w:rPr>
        <w:t>an haltenden</w:t>
      </w:r>
      <w:proofErr w:type="gramEnd"/>
      <w:r>
        <w:rPr>
          <w:rFonts w:ascii="DejaVuSansCondensed,DejaVuSansC" w:hAnsi="DejaVuSansCondensed,DejaVuSansC" w:cs="DejaVuSansCondensed,DejaVuSansC"/>
          <w:kern w:val="0"/>
          <w:sz w:val="19"/>
          <w:szCs w:val="19"/>
        </w:rPr>
        <w:t xml:space="preserve"> Fahrzeugen vorbeifährt,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möglichst die Engstelle räumen, anstatt wegen Gegenverkehrs darin anzuhalten (hier Haftung zu 2/3).</w:t>
      </w:r>
    </w:p>
    <w:p w14:paraId="76755790" w14:textId="77777777" w:rsidR="00B41097" w:rsidRDefault="00B41097">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EAD18D1" w14:textId="77777777" w:rsidR="00B41097" w:rsidRDefault="00B41097">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Fundstellen</w:t>
      </w:r>
    </w:p>
    <w:p w14:paraId="219DB3D0" w14:textId="77777777" w:rsidR="00B41097" w:rsidRDefault="00B41097">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NZV 1993, 195-​196 (Leitsatz und Gründe)</w:t>
      </w:r>
    </w:p>
    <w:p w14:paraId="3A07FAA5" w14:textId="77777777" w:rsidR="00B41097" w:rsidRDefault="00B41097">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Verfahrensgang</w:t>
      </w:r>
    </w:p>
    <w:p w14:paraId="5F275BBD" w14:textId="77777777" w:rsidR="00B41097" w:rsidRDefault="00B41097">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vorgehend LG Koblenz, 1. Juli 1991, 5 O 419/90</w:t>
      </w:r>
    </w:p>
    <w:p w14:paraId="03F74CA9" w14:textId="77777777" w:rsidR="00B41097" w:rsidRDefault="00B41097">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Diese Entscheidung wird zitiert</w:t>
      </w:r>
    </w:p>
    <w:p w14:paraId="4144B18E" w14:textId="77777777" w:rsidR="00B41097" w:rsidRDefault="00B41097">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Kommentare</w:t>
      </w:r>
    </w:p>
    <w:p w14:paraId="035C7D57" w14:textId="77777777" w:rsidR="00B41097" w:rsidRDefault="00B41097">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 xml:space="preserve">Freymann/Wellner, </w:t>
      </w:r>
      <w:proofErr w:type="spellStart"/>
      <w:r>
        <w:rPr>
          <w:rFonts w:ascii="DejaVuSansCondensed,DejaVuSansC" w:hAnsi="DejaVuSansCondensed,DejaVuSansC" w:cs="DejaVuSansCondensed,DejaVuSansC"/>
          <w:i/>
          <w:iCs/>
          <w:kern w:val="0"/>
          <w:sz w:val="19"/>
          <w:szCs w:val="19"/>
        </w:rPr>
        <w:t>jurisPK</w:t>
      </w:r>
      <w:proofErr w:type="spellEnd"/>
      <w:r>
        <w:rPr>
          <w:rFonts w:ascii="DejaVuSansCondensed,DejaVuSansC" w:hAnsi="DejaVuSansCondensed,DejaVuSansC" w:cs="DejaVuSansCondensed,DejaVuSansC"/>
          <w:i/>
          <w:iCs/>
          <w:kern w:val="0"/>
          <w:sz w:val="19"/>
          <w:szCs w:val="19"/>
        </w:rPr>
        <w:t>-​Straßenverkehrsrecht</w:t>
      </w:r>
    </w:p>
    <w:p w14:paraId="0E412389" w14:textId="77777777" w:rsidR="00B41097" w:rsidRDefault="00B41097">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Helle, 2. Auflage 2022, § 6 StVO</w:t>
      </w:r>
    </w:p>
    <w:p w14:paraId="73FD09B2" w14:textId="77777777" w:rsidR="00B41097" w:rsidRDefault="00B41097">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4D69E414" w14:textId="77777777" w:rsidR="00B41097" w:rsidRDefault="00B41097">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Tatbestand</w:t>
      </w:r>
    </w:p>
    <w:p w14:paraId="725FBB30"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D9D1E2A"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 xml:space="preserve"> Am 31. August 1989 gegen 15.20 Uhr ereignete sich in K ein Verkehrsunfall. Der Kläger fuhr mit seinem bei der Widerbeklagten zu 2) haftpflichtversicherten PKW VW Passat die Straße "H. Höhe" in Richtung H. Der Beklagte zu 1) befuhr mit seinem bei der Beklagten zu 2) haftpflichtversicherten </w:t>
      </w:r>
      <w:proofErr w:type="gramStart"/>
      <w:r>
        <w:rPr>
          <w:rFonts w:ascii="DejaVuSansCondensed,DejaVuSansC" w:hAnsi="DejaVuSansCondensed,DejaVuSansC" w:cs="DejaVuSansCondensed,DejaVuSansC"/>
          <w:kern w:val="0"/>
          <w:sz w:val="19"/>
          <w:szCs w:val="19"/>
        </w:rPr>
        <w:t>PKW Golf</w:t>
      </w:r>
      <w:proofErr w:type="gramEnd"/>
      <w:r>
        <w:rPr>
          <w:rFonts w:ascii="DejaVuSansCondensed,DejaVuSansC" w:hAnsi="DejaVuSansCondensed,DejaVuSansC" w:cs="DejaVuSansCondensed,DejaVuSansC"/>
          <w:kern w:val="0"/>
          <w:sz w:val="19"/>
          <w:szCs w:val="19"/>
        </w:rPr>
        <w:t xml:space="preserve"> die genannte Straße in der Gegenrichtung. In Fahrtrichtung des Beklagten zu 2) parkten, wie jetzt unstreitig geworden ist, rechts zwei Fahrzeuge. An diesen wollte der Beklagte zu 1) vorbeifahren. Als er sich noch in Höhe des vorderen der beiden parkenden Fahrzeuge befand, hielt er wegen des ihm entgegenkommenden PKW des Klägers an. Es kam zum Zusammenstoß der beiden Fahrzeuge, welche dabei beschädigt wurden. Die Widerbeklagte zu 2) hat dem Beklagten zu 1) auf dessen Unfallschaden vor Rechtshängigkeit der Widerklage </w:t>
      </w:r>
      <w:proofErr w:type="gramStart"/>
      <w:r>
        <w:rPr>
          <w:rFonts w:ascii="DejaVuSansCondensed,DejaVuSansC" w:hAnsi="DejaVuSansCondensed,DejaVuSansC" w:cs="DejaVuSansCondensed,DejaVuSansC"/>
          <w:kern w:val="0"/>
          <w:sz w:val="19"/>
          <w:szCs w:val="19"/>
        </w:rPr>
        <w:t>3.500,-</w:t>
      </w:r>
      <w:proofErr w:type="gramEnd"/>
      <w:r>
        <w:rPr>
          <w:rFonts w:ascii="DejaVuSansCondensed,DejaVuSansC" w:hAnsi="DejaVuSansCondensed,DejaVuSansC" w:cs="DejaVuSansCondensed,DejaVuSansC"/>
          <w:kern w:val="0"/>
          <w:sz w:val="19"/>
          <w:szCs w:val="19"/>
        </w:rPr>
        <w:t xml:space="preserve">​- DM gezahlt. </w:t>
      </w:r>
    </w:p>
    <w:p w14:paraId="6F9B29AA"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E9A5AFE"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 xml:space="preserve"> Jede Partei vertritt die Auffassung, der Unfallgegner habe die Kollision verschuldet. </w:t>
      </w:r>
    </w:p>
    <w:p w14:paraId="72A17C0A"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38208D8F"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 xml:space="preserve"> Mit der Klage hat der Kläger auf der Grundlage einer vollen Haftung der Beklagten von diesen die Zahlung von 7.638,79 DM nebst Zinsen gefordert. Der Beklagte zu 1) hat mit der Widerklage ebenfalls auf der Grundlage einer vollen Haftung der Gegenseite vom Kläger und von der Widerbeklagten zu 2) die Zahlung seines restlichen Schadens von 4.169,27 DM nebst Zinsen verlangt. </w:t>
      </w:r>
    </w:p>
    <w:p w14:paraId="53E37F97"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9A2991F"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 xml:space="preserve"> Das Landgericht hat nach Beweisaufnahme durch Urteil vom 1. Juli 1991 auf der Basis einer Haftung von 1/</w:t>
      </w:r>
      <w:proofErr w:type="gramStart"/>
      <w:r>
        <w:rPr>
          <w:rFonts w:ascii="DejaVuSansCondensed,DejaVuSansC" w:hAnsi="DejaVuSansCondensed,DejaVuSansC" w:cs="DejaVuSansCondensed,DejaVuSansC"/>
          <w:kern w:val="0"/>
          <w:sz w:val="19"/>
          <w:szCs w:val="19"/>
        </w:rPr>
        <w:t>5 :</w:t>
      </w:r>
      <w:proofErr w:type="gramEnd"/>
      <w:r>
        <w:rPr>
          <w:rFonts w:ascii="DejaVuSansCondensed,DejaVuSansC" w:hAnsi="DejaVuSansCondensed,DejaVuSansC" w:cs="DejaVuSansCondensed,DejaVuSansC"/>
          <w:kern w:val="0"/>
          <w:sz w:val="19"/>
          <w:szCs w:val="19"/>
        </w:rPr>
        <w:t xml:space="preserve"> 4/5 zu Lasten des Klägers und der Widerbeklagten zu 2) dem Kläger 1.477,36 DM nebst 9 % Zinsen seit dem 19. September 1990 und dem Beklagten zu 1) 2.634,62 DM nebst 4 % Zinsen seit dem 2. Oktober 1990 zugesprochen. Die Klage und die Widerklage im </w:t>
      </w:r>
      <w:proofErr w:type="gramStart"/>
      <w:r>
        <w:rPr>
          <w:rFonts w:ascii="DejaVuSansCondensed,DejaVuSansC" w:hAnsi="DejaVuSansCondensed,DejaVuSansC" w:cs="DejaVuSansCondensed,DejaVuSansC"/>
          <w:kern w:val="0"/>
          <w:sz w:val="19"/>
          <w:szCs w:val="19"/>
        </w:rPr>
        <w:t>übrigen</w:t>
      </w:r>
      <w:proofErr w:type="gramEnd"/>
      <w:r>
        <w:rPr>
          <w:rFonts w:ascii="DejaVuSansCondensed,DejaVuSansC" w:hAnsi="DejaVuSansCondensed,DejaVuSansC" w:cs="DejaVuSansCondensed,DejaVuSansC"/>
          <w:kern w:val="0"/>
          <w:sz w:val="19"/>
          <w:szCs w:val="19"/>
        </w:rPr>
        <w:t xml:space="preserve"> hat das Landgericht abgewiesen. Auf den Inhalt dieses Urteils wird Bezug genommen. </w:t>
      </w:r>
    </w:p>
    <w:p w14:paraId="4DD92F39"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FF58C4E"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 xml:space="preserve"> Mit seiner Berufung gegen dieses Urteil verlangt der Kläger von den Beklagten die Zahlung von insgesamt 7.386,79 DM nebst Zinsen. Der Kläger und die Widerbeklagte zu 2) beantragen weiterhin, die Widerklage im vollen Umfang abzuweisen. </w:t>
      </w:r>
    </w:p>
    <w:p w14:paraId="2A1443B6"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6765982"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 xml:space="preserve"> Der Senat hat die Parteien angehört. Die Akten 109 </w:t>
      </w:r>
      <w:proofErr w:type="spellStart"/>
      <w:r>
        <w:rPr>
          <w:rFonts w:ascii="DejaVuSansCondensed,DejaVuSansC" w:hAnsi="DejaVuSansCondensed,DejaVuSansC" w:cs="DejaVuSansCondensed,DejaVuSansC"/>
          <w:kern w:val="0"/>
          <w:sz w:val="19"/>
          <w:szCs w:val="19"/>
        </w:rPr>
        <w:t>Js</w:t>
      </w:r>
      <w:proofErr w:type="spellEnd"/>
      <w:r>
        <w:rPr>
          <w:rFonts w:ascii="DejaVuSansCondensed,DejaVuSansC" w:hAnsi="DejaVuSansCondensed,DejaVuSansC" w:cs="DejaVuSansCondensed,DejaVuSansC"/>
          <w:kern w:val="0"/>
          <w:sz w:val="19"/>
          <w:szCs w:val="19"/>
        </w:rPr>
        <w:t xml:space="preserve"> 48536/90 </w:t>
      </w:r>
      <w:proofErr w:type="spellStart"/>
      <w:r>
        <w:rPr>
          <w:rFonts w:ascii="DejaVuSansCondensed,DejaVuSansC" w:hAnsi="DejaVuSansCondensed,DejaVuSansC" w:cs="DejaVuSansCondensed,DejaVuSansC"/>
          <w:kern w:val="0"/>
          <w:sz w:val="19"/>
          <w:szCs w:val="19"/>
        </w:rPr>
        <w:t>StA</w:t>
      </w:r>
      <w:proofErr w:type="spellEnd"/>
      <w:r>
        <w:rPr>
          <w:rFonts w:ascii="DejaVuSansCondensed,DejaVuSansC" w:hAnsi="DejaVuSansCondensed,DejaVuSansC" w:cs="DejaVuSansCondensed,DejaVuSansC"/>
          <w:kern w:val="0"/>
          <w:sz w:val="19"/>
          <w:szCs w:val="19"/>
        </w:rPr>
        <w:t xml:space="preserve"> Koblenz sind Gegenstand der mündlichen Verhandlung gewesen. </w:t>
      </w:r>
    </w:p>
    <w:p w14:paraId="6554B980"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E5D4534"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w:t>
      </w:r>
      <w:r>
        <w:rPr>
          <w:rFonts w:ascii="DejaVuSansCondensed,DejaVuSansC" w:hAnsi="DejaVuSansCondensed,DejaVuSansC" w:cs="DejaVuSansCondensed,DejaVuSansC"/>
          <w:kern w:val="0"/>
          <w:sz w:val="19"/>
          <w:szCs w:val="19"/>
        </w:rPr>
        <w:tab/>
        <w:t xml:space="preserve"> Von einer weiteren Darstellung des Tatbestands wird gemäß § 543 Abs. 1 ZPO abgesehen. </w:t>
      </w:r>
    </w:p>
    <w:p w14:paraId="5B34D6B2"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51D5FC8" w14:textId="77777777" w:rsidR="00B41097" w:rsidRDefault="00B41097">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Entscheidungsgründe</w:t>
      </w:r>
    </w:p>
    <w:p w14:paraId="22F02B76"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C0235C"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 xml:space="preserve"> Die Berufung ist zulässig und teilweise begründet. Der Kläger kann von den Beklagten gemäß §§ 7, 17 StVG und 3 Pflichtversicherungsgesetz Schadensersatz nach einer Haftungsquote von 2/3 verlangen. Da sein Schaden 6.700,79 DM beträgt, stehen ihm insgesamt 4.467,19 DM zu. Der Beklagte zu 1) konnte vom Kläger und der Widerbeklagten zu 2) lediglich Ersatz in Höhe eines Drittels seines Schadens berechtigterweise fordern. Sein Anspruch ist durch die Zahlung der Widerbeklagten zu 2) bereits ausgeglichen. Denn 1/3 seines mit 7.669,27 DM behaupteten Schadens ergibt nur den Betrag von 2.556,42 DM. Hierauf hat die Widerbeklagte zu 2) bereits </w:t>
      </w:r>
      <w:proofErr w:type="gramStart"/>
      <w:r>
        <w:rPr>
          <w:rFonts w:ascii="DejaVuSansCondensed,DejaVuSansC" w:hAnsi="DejaVuSansCondensed,DejaVuSansC" w:cs="DejaVuSansCondensed,DejaVuSansC"/>
          <w:kern w:val="0"/>
          <w:sz w:val="19"/>
          <w:szCs w:val="19"/>
        </w:rPr>
        <w:t>3.500,-</w:t>
      </w:r>
      <w:proofErr w:type="gramEnd"/>
      <w:r>
        <w:rPr>
          <w:rFonts w:ascii="DejaVuSansCondensed,DejaVuSansC" w:hAnsi="DejaVuSansCondensed,DejaVuSansC" w:cs="DejaVuSansCondensed,DejaVuSansC"/>
          <w:kern w:val="0"/>
          <w:sz w:val="19"/>
          <w:szCs w:val="19"/>
        </w:rPr>
        <w:t xml:space="preserve">​- DM, also mehr als geschuldet, entrichtet. </w:t>
      </w:r>
    </w:p>
    <w:p w14:paraId="501963ED"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91B5D53"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 xml:space="preserve"> Es ist nicht bewiesen,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der Unfall für einen der beiden in ihn verwickelten Fahrer unabwendbar im Sinne von § 7 Abs. 2 StVG war. Die Beweisaufnahme hat vielmehr ergeben,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beide Fahrer durch Verschulden den Unfall verursacht haben. </w:t>
      </w:r>
    </w:p>
    <w:p w14:paraId="29D83E60"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7DDC137"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 xml:space="preserve"> </w:t>
      </w:r>
      <w:r w:rsidRPr="00BB6AF6">
        <w:rPr>
          <w:rFonts w:ascii="DejaVuSansCondensed,DejaVuSansC" w:hAnsi="DejaVuSansCondensed,DejaVuSansC" w:cs="DejaVuSansCondensed,DejaVuSansC"/>
          <w:kern w:val="0"/>
          <w:sz w:val="19"/>
          <w:szCs w:val="19"/>
          <w:highlight w:val="yellow"/>
        </w:rPr>
        <w:t>Wie der Sachverständige H. in seinem Gutachten vom 17. Mai 1991 (</w:t>
      </w:r>
      <w:proofErr w:type="spellStart"/>
      <w:r w:rsidRPr="00BB6AF6">
        <w:rPr>
          <w:rFonts w:ascii="DejaVuSansCondensed,DejaVuSansC" w:hAnsi="DejaVuSansCondensed,DejaVuSansC" w:cs="DejaVuSansCondensed,DejaVuSansC"/>
          <w:kern w:val="0"/>
          <w:sz w:val="19"/>
          <w:szCs w:val="19"/>
          <w:highlight w:val="yellow"/>
        </w:rPr>
        <w:t>Bl</w:t>
      </w:r>
      <w:proofErr w:type="spellEnd"/>
      <w:r w:rsidRPr="00BB6AF6">
        <w:rPr>
          <w:rFonts w:ascii="DejaVuSansCondensed,DejaVuSansC" w:hAnsi="DejaVuSansCondensed,DejaVuSansC" w:cs="DejaVuSansCondensed,DejaVuSansC"/>
          <w:kern w:val="0"/>
          <w:sz w:val="19"/>
          <w:szCs w:val="19"/>
          <w:highlight w:val="yellow"/>
        </w:rPr>
        <w:t xml:space="preserve">. 91 ff. d. A.) überzeugend dargelegt hat, hätte der Beklagte dann, wenn er seine Fahrt an den parkenden Fahrzeugen vorbei fortgesetzt hätte, die Engstelle in der Zeit, die er auch zum Anhalten benötigte, räumen und den </w:t>
      </w:r>
      <w:proofErr w:type="spellStart"/>
      <w:r w:rsidRPr="00BB6AF6">
        <w:rPr>
          <w:rFonts w:ascii="DejaVuSansCondensed,DejaVuSansC" w:hAnsi="DejaVuSansCondensed,DejaVuSansC" w:cs="DejaVuSansCondensed,DejaVuSansC"/>
          <w:kern w:val="0"/>
          <w:sz w:val="19"/>
          <w:szCs w:val="19"/>
          <w:highlight w:val="yellow"/>
        </w:rPr>
        <w:t>Engpaß</w:t>
      </w:r>
      <w:proofErr w:type="spellEnd"/>
      <w:r w:rsidRPr="00BB6AF6">
        <w:rPr>
          <w:rFonts w:ascii="DejaVuSansCondensed,DejaVuSansC" w:hAnsi="DejaVuSansCondensed,DejaVuSansC" w:cs="DejaVuSansCondensed,DejaVuSansC"/>
          <w:kern w:val="0"/>
          <w:sz w:val="19"/>
          <w:szCs w:val="19"/>
          <w:highlight w:val="yellow"/>
        </w:rPr>
        <w:t xml:space="preserve"> zur Durchfahrt des Klägers freimachen können.</w:t>
      </w:r>
      <w:r>
        <w:rPr>
          <w:rFonts w:ascii="DejaVuSansCondensed,DejaVuSansC" w:hAnsi="DejaVuSansCondensed,DejaVuSansC" w:cs="DejaVuSansCondensed,DejaVuSansC"/>
          <w:kern w:val="0"/>
          <w:sz w:val="19"/>
          <w:szCs w:val="19"/>
        </w:rPr>
        <w:t xml:space="preserve">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stattdessen anhielt, als er, nach seinen eigenen Angaben, den PKW des Klägers herankommen sah, ist ihm als Verschulden anzulasten. </w:t>
      </w:r>
      <w:r w:rsidRPr="00BB6AF6">
        <w:rPr>
          <w:rFonts w:ascii="DejaVuSansCondensed,DejaVuSansC" w:hAnsi="DejaVuSansCondensed,DejaVuSansC" w:cs="DejaVuSansCondensed,DejaVuSansC"/>
          <w:kern w:val="0"/>
          <w:sz w:val="19"/>
          <w:szCs w:val="19"/>
          <w:highlight w:val="yellow"/>
        </w:rPr>
        <w:t xml:space="preserve">Er </w:t>
      </w:r>
      <w:proofErr w:type="spellStart"/>
      <w:r w:rsidRPr="00BB6AF6">
        <w:rPr>
          <w:rFonts w:ascii="DejaVuSansCondensed,DejaVuSansC" w:hAnsi="DejaVuSansCondensed,DejaVuSansC" w:cs="DejaVuSansCondensed,DejaVuSansC"/>
          <w:kern w:val="0"/>
          <w:sz w:val="19"/>
          <w:szCs w:val="19"/>
          <w:highlight w:val="yellow"/>
        </w:rPr>
        <w:t>mußte</w:t>
      </w:r>
      <w:proofErr w:type="spellEnd"/>
      <w:r w:rsidRPr="00BB6AF6">
        <w:rPr>
          <w:rFonts w:ascii="DejaVuSansCondensed,DejaVuSansC" w:hAnsi="DejaVuSansCondensed,DejaVuSansC" w:cs="DejaVuSansCondensed,DejaVuSansC"/>
          <w:kern w:val="0"/>
          <w:sz w:val="19"/>
          <w:szCs w:val="19"/>
          <w:highlight w:val="yellow"/>
        </w:rPr>
        <w:t xml:space="preserve"> nämlich nach § 6 StVO möglichst dafür sorgen, </w:t>
      </w:r>
      <w:proofErr w:type="spellStart"/>
      <w:r w:rsidRPr="00BB6AF6">
        <w:rPr>
          <w:rFonts w:ascii="DejaVuSansCondensed,DejaVuSansC" w:hAnsi="DejaVuSansCondensed,DejaVuSansC" w:cs="DejaVuSansCondensed,DejaVuSansC"/>
          <w:kern w:val="0"/>
          <w:sz w:val="19"/>
          <w:szCs w:val="19"/>
          <w:highlight w:val="yellow"/>
        </w:rPr>
        <w:t>daß</w:t>
      </w:r>
      <w:proofErr w:type="spellEnd"/>
      <w:r w:rsidRPr="00BB6AF6">
        <w:rPr>
          <w:rFonts w:ascii="DejaVuSansCondensed,DejaVuSansC" w:hAnsi="DejaVuSansCondensed,DejaVuSansC" w:cs="DejaVuSansCondensed,DejaVuSansC"/>
          <w:kern w:val="0"/>
          <w:sz w:val="19"/>
          <w:szCs w:val="19"/>
          <w:highlight w:val="yellow"/>
        </w:rPr>
        <w:t xml:space="preserve"> ihm entgegenkommender Fahrzeugverkehr durchfahren konnte.</w:t>
      </w:r>
      <w:r>
        <w:rPr>
          <w:rFonts w:ascii="DejaVuSansCondensed,DejaVuSansC" w:hAnsi="DejaVuSansCondensed,DejaVuSansC" w:cs="DejaVuSansCondensed,DejaVuSansC"/>
          <w:kern w:val="0"/>
          <w:sz w:val="19"/>
          <w:szCs w:val="19"/>
        </w:rPr>
        <w:t xml:space="preserve"> Durch das in der gegebenen Situation unnötige und falsche Anhalten seines PKW hinderte er den Kläger schuldhaft an der Durchfahrt. </w:t>
      </w:r>
    </w:p>
    <w:p w14:paraId="414A3ABD"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57BC43BE"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11</w:t>
      </w:r>
      <w:r>
        <w:rPr>
          <w:rFonts w:ascii="DejaVuSansCondensed,DejaVuSansC" w:hAnsi="DejaVuSansCondensed,DejaVuSansC" w:cs="DejaVuSansCondensed,DejaVuSansC"/>
          <w:kern w:val="0"/>
          <w:sz w:val="19"/>
          <w:szCs w:val="19"/>
        </w:rPr>
        <w:tab/>
        <w:t xml:space="preserve"> Den Kläger trifft aber auch ein Verschulden am Unfall. Wie der genannte Sachverständige ebenfalls dargelegt hat, hätte der Kläger bei Einhaltung der zulässigen Höchstgeschwindigkeit und bei aufmerksamer Fahrweise die Möglichkeit gehabt, sein Fahrzeug bis zum Erreichen der späteren Anstoßstelle zum Stillstand abzubremsen und so den Unfall zu vermeiden. Der Kläger durfte nicht darauf vertrauen, der Beklagte zu 1) werde den </w:t>
      </w:r>
      <w:proofErr w:type="spellStart"/>
      <w:r>
        <w:rPr>
          <w:rFonts w:ascii="DejaVuSansCondensed,DejaVuSansC" w:hAnsi="DejaVuSansCondensed,DejaVuSansC" w:cs="DejaVuSansCondensed,DejaVuSansC"/>
          <w:kern w:val="0"/>
          <w:sz w:val="19"/>
          <w:szCs w:val="19"/>
        </w:rPr>
        <w:t>Engpaß</w:t>
      </w:r>
      <w:proofErr w:type="spellEnd"/>
      <w:r>
        <w:rPr>
          <w:rFonts w:ascii="DejaVuSansCondensed,DejaVuSansC" w:hAnsi="DejaVuSansCondensed,DejaVuSansC" w:cs="DejaVuSansCondensed,DejaVuSansC"/>
          <w:kern w:val="0"/>
          <w:sz w:val="19"/>
          <w:szCs w:val="19"/>
        </w:rPr>
        <w:t xml:space="preserve"> noch rechtzeitig räumen. Insoweit bestand eine unklare Verkehrssituation, der ein Kraftfahrer zur sicheren Vermeidung eines Schadens durch Abbremsen Rechnung tragen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w:t>
      </w:r>
    </w:p>
    <w:p w14:paraId="6C7FBD1E"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B8713B8"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t xml:space="preserve"> Die nach § 17 StVG vorzunehmende Abwägung der jeweiligen Verursachungsanteile führt zu dem Ergebnis, eine Haftung der Beklagten von 2/3 anzunehmen. Der Beklagte zu 1) versperrte nämlich dem Gegenverkehr die Durchfahrtmöglichkeit. Er befand sich im Unfallzeitpunkt nicht mehr voll auf seiner rechten Fahrbahnhälfte, sondern nahm einen Teil der Gegenfahrbahn so in Anspruch,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ein gefahrloses Passieren nicht möglich war. Damit bildete er gegenüber dem Kläger die objektiv größere Gefahr, so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die Beklagten überwiegend haften müssen. </w:t>
      </w:r>
    </w:p>
    <w:p w14:paraId="080C625F"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E2698F9"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w:t>
      </w:r>
      <w:r>
        <w:rPr>
          <w:rFonts w:ascii="DejaVuSansCondensed,DejaVuSansC" w:hAnsi="DejaVuSansCondensed,DejaVuSansC" w:cs="DejaVuSansCondensed,DejaVuSansC"/>
          <w:kern w:val="0"/>
          <w:sz w:val="19"/>
          <w:szCs w:val="19"/>
        </w:rPr>
        <w:tab/>
        <w:t xml:space="preserve"> Der Schaden des Klägers von insgesamt </w:t>
      </w:r>
      <w:proofErr w:type="gramStart"/>
      <w:r>
        <w:rPr>
          <w:rFonts w:ascii="DejaVuSansCondensed,DejaVuSansC" w:hAnsi="DejaVuSansCondensed,DejaVuSansC" w:cs="DejaVuSansCondensed,DejaVuSansC"/>
          <w:kern w:val="0"/>
          <w:sz w:val="19"/>
          <w:szCs w:val="19"/>
        </w:rPr>
        <w:t>6 .</w:t>
      </w:r>
      <w:proofErr w:type="gramEnd"/>
      <w:r>
        <w:rPr>
          <w:rFonts w:ascii="DejaVuSansCondensed,DejaVuSansC" w:hAnsi="DejaVuSansCondensed,DejaVuSansC" w:cs="DejaVuSansCondensed,DejaVuSansC"/>
          <w:kern w:val="0"/>
          <w:sz w:val="19"/>
          <w:szCs w:val="19"/>
        </w:rPr>
        <w:t xml:space="preserve"> 700, 79 DM setzt sich wie folgt zusammen: </w:t>
      </w:r>
    </w:p>
    <w:p w14:paraId="09C766B8"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1BC67A7"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w:t>
      </w:r>
      <w:r>
        <w:rPr>
          <w:rFonts w:ascii="DejaVuSansCondensed,DejaVuSansC" w:hAnsi="DejaVuSansCondensed,DejaVuSansC" w:cs="DejaVuSansCondensed,DejaVuSansC"/>
          <w:kern w:val="0"/>
          <w:sz w:val="19"/>
          <w:szCs w:val="19"/>
        </w:rPr>
        <w:tab/>
      </w:r>
    </w:p>
    <w:tbl>
      <w:tblPr>
        <w:tblW w:w="0" w:type="auto"/>
        <w:tblInd w:w="1605" w:type="dxa"/>
        <w:tblCellMar>
          <w:left w:w="0" w:type="dxa"/>
          <w:right w:w="0" w:type="dxa"/>
        </w:tblCellMar>
        <w:tblLook w:val="0000" w:firstRow="0" w:lastRow="0" w:firstColumn="0" w:lastColumn="0" w:noHBand="0" w:noVBand="0"/>
      </w:tblPr>
      <w:tblGrid>
        <w:gridCol w:w="4647"/>
        <w:gridCol w:w="1342"/>
      </w:tblGrid>
      <w:tr w:rsidR="00221302" w14:paraId="2318030D" w14:textId="77777777">
        <w:tc>
          <w:tcPr>
            <w:tcW w:w="5989" w:type="dxa"/>
            <w:gridSpan w:val="2"/>
            <w:tcBorders>
              <w:top w:val="nil"/>
              <w:left w:val="nil"/>
              <w:bottom w:val="nil"/>
              <w:right w:val="nil"/>
            </w:tcBorders>
            <w:tcMar>
              <w:top w:w="15" w:type="dxa"/>
              <w:left w:w="15" w:type="dxa"/>
              <w:bottom w:w="15" w:type="dxa"/>
              <w:right w:w="15" w:type="dxa"/>
            </w:tcMar>
          </w:tcPr>
          <w:p w14:paraId="73E13E18" w14:textId="77777777" w:rsidR="00B41097" w:rsidRDefault="00B41097">
            <w:pPr>
              <w:widowControl w:val="0"/>
              <w:autoSpaceDE w:val="0"/>
              <w:autoSpaceDN w:val="0"/>
              <w:adjustRightInd w:val="0"/>
              <w:spacing w:after="0" w:line="240" w:lineRule="auto"/>
              <w:rPr>
                <w:rFonts w:ascii="Times New Roman" w:hAnsi="Times New Roman" w:cs="Times New Roman"/>
                <w:kern w:val="0"/>
              </w:rPr>
            </w:pPr>
          </w:p>
        </w:tc>
      </w:tr>
      <w:tr w:rsidR="00221302" w14:paraId="0DB414D3" w14:textId="77777777">
        <w:tc>
          <w:tcPr>
            <w:tcW w:w="4647" w:type="dxa"/>
            <w:tcBorders>
              <w:top w:val="nil"/>
              <w:left w:val="nil"/>
              <w:bottom w:val="nil"/>
              <w:right w:val="nil"/>
            </w:tcBorders>
            <w:tcMar>
              <w:top w:w="15" w:type="dxa"/>
              <w:left w:w="15" w:type="dxa"/>
              <w:bottom w:w="15" w:type="dxa"/>
              <w:right w:w="15" w:type="dxa"/>
            </w:tcMar>
          </w:tcPr>
          <w:p w14:paraId="6B39C597"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 Fahrzeug</w:t>
            </w:r>
            <w:r>
              <w:rPr>
                <w:rFonts w:ascii="DejaVuSansCondensed,DejaVuSansC" w:hAnsi="DejaVuSansCondensed,DejaVuSansC" w:cs="DejaVuSansCondensed,DejaVuSansC"/>
                <w:kern w:val="0"/>
                <w:sz w:val="19"/>
                <w:szCs w:val="19"/>
              </w:rPr>
              <w:softHyphen/>
              <w:t>schaden (unstreitig)</w:t>
            </w:r>
          </w:p>
        </w:tc>
        <w:tc>
          <w:tcPr>
            <w:tcW w:w="1342" w:type="dxa"/>
            <w:tcBorders>
              <w:top w:val="nil"/>
              <w:left w:val="nil"/>
              <w:bottom w:val="nil"/>
              <w:right w:val="nil"/>
            </w:tcBorders>
            <w:tcMar>
              <w:top w:w="15" w:type="dxa"/>
              <w:left w:w="15" w:type="dxa"/>
              <w:bottom w:w="15" w:type="dxa"/>
              <w:right w:w="15" w:type="dxa"/>
            </w:tcMar>
          </w:tcPr>
          <w:p w14:paraId="225E10B8" w14:textId="77777777" w:rsidR="00B41097" w:rsidRDefault="00B41097">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kern w:val="0"/>
                <w:sz w:val="19"/>
                <w:szCs w:val="19"/>
              </w:rPr>
            </w:pPr>
            <w:proofErr w:type="gramStart"/>
            <w:r>
              <w:rPr>
                <w:rFonts w:ascii="DejaVuSansCondensed,DejaVuSansC" w:hAnsi="DejaVuSansCondensed,DejaVuSansC" w:cs="DejaVuSansCondensed,DejaVuSansC"/>
                <w:kern w:val="0"/>
                <w:sz w:val="19"/>
                <w:szCs w:val="19"/>
              </w:rPr>
              <w:t>5.200,--</w:t>
            </w:r>
            <w:proofErr w:type="gramEnd"/>
            <w:r>
              <w:rPr>
                <w:rFonts w:ascii="DejaVuSansCondensed,DejaVuSansC" w:hAnsi="DejaVuSansCondensed,DejaVuSansC" w:cs="DejaVuSansCondensed,DejaVuSansC"/>
                <w:kern w:val="0"/>
                <w:sz w:val="19"/>
                <w:szCs w:val="19"/>
              </w:rPr>
              <w:t xml:space="preserve"> DM</w:t>
            </w:r>
          </w:p>
        </w:tc>
      </w:tr>
      <w:tr w:rsidR="00221302" w14:paraId="47C17725" w14:textId="77777777">
        <w:tc>
          <w:tcPr>
            <w:tcW w:w="4647" w:type="dxa"/>
            <w:tcBorders>
              <w:top w:val="nil"/>
              <w:left w:val="nil"/>
              <w:bottom w:val="nil"/>
              <w:right w:val="nil"/>
            </w:tcBorders>
            <w:tcMar>
              <w:top w:w="15" w:type="dxa"/>
              <w:left w:w="15" w:type="dxa"/>
              <w:bottom w:w="15" w:type="dxa"/>
              <w:right w:w="15" w:type="dxa"/>
            </w:tcMar>
          </w:tcPr>
          <w:p w14:paraId="508F9C0C"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proofErr w:type="gramStart"/>
            <w:r>
              <w:rPr>
                <w:rFonts w:ascii="DejaVuSansCondensed,DejaVuSansC" w:hAnsi="DejaVuSansCondensed,DejaVuSansC" w:cs="DejaVuSansCondensed,DejaVuSansC"/>
                <w:kern w:val="0"/>
                <w:sz w:val="19"/>
                <w:szCs w:val="19"/>
              </w:rPr>
              <w:t>2 .</w:t>
            </w:r>
            <w:proofErr w:type="gramEnd"/>
            <w:r>
              <w:rPr>
                <w:rFonts w:ascii="DejaVuSansCondensed,DejaVuSansC" w:hAnsi="DejaVuSansCondensed,DejaVuSansC" w:cs="DejaVuSansCondensed,DejaVuSansC"/>
                <w:kern w:val="0"/>
                <w:sz w:val="19"/>
                <w:szCs w:val="19"/>
              </w:rPr>
              <w:t xml:space="preserve"> Sachver</w:t>
            </w:r>
            <w:r>
              <w:rPr>
                <w:rFonts w:ascii="DejaVuSansCondensed,DejaVuSansC" w:hAnsi="DejaVuSansCondensed,DejaVuSansC" w:cs="DejaVuSansCondensed,DejaVuSansC"/>
                <w:kern w:val="0"/>
                <w:sz w:val="19"/>
                <w:szCs w:val="19"/>
              </w:rPr>
              <w:softHyphen/>
              <w:t>stän</w:t>
            </w:r>
            <w:r>
              <w:rPr>
                <w:rFonts w:ascii="DejaVuSansCondensed,DejaVuSansC" w:hAnsi="DejaVuSansCondensed,DejaVuSansC" w:cs="DejaVuSansCondensed,DejaVuSansC"/>
                <w:kern w:val="0"/>
                <w:sz w:val="19"/>
                <w:szCs w:val="19"/>
              </w:rPr>
              <w:softHyphen/>
              <w:t>di</w:t>
            </w:r>
            <w:r>
              <w:rPr>
                <w:rFonts w:ascii="DejaVuSansCondensed,DejaVuSansC" w:hAnsi="DejaVuSansCondensed,DejaVuSansC" w:cs="DejaVuSansCondensed,DejaVuSansC"/>
                <w:kern w:val="0"/>
                <w:sz w:val="19"/>
                <w:szCs w:val="19"/>
              </w:rPr>
              <w:softHyphen/>
              <w:t>gen</w:t>
            </w:r>
            <w:r>
              <w:rPr>
                <w:rFonts w:ascii="DejaVuSansCondensed,DejaVuSansC" w:hAnsi="DejaVuSansCondensed,DejaVuSansC" w:cs="DejaVuSansCondensed,DejaVuSansC"/>
                <w:kern w:val="0"/>
                <w:sz w:val="19"/>
                <w:szCs w:val="19"/>
              </w:rPr>
              <w:softHyphen/>
              <w:t>kosten (unstreitig)</w:t>
            </w:r>
          </w:p>
        </w:tc>
        <w:tc>
          <w:tcPr>
            <w:tcW w:w="1342" w:type="dxa"/>
            <w:tcBorders>
              <w:top w:val="nil"/>
              <w:left w:val="nil"/>
              <w:bottom w:val="nil"/>
              <w:right w:val="nil"/>
            </w:tcBorders>
            <w:tcMar>
              <w:top w:w="15" w:type="dxa"/>
              <w:left w:w="15" w:type="dxa"/>
              <w:bottom w:w="15" w:type="dxa"/>
              <w:right w:w="15" w:type="dxa"/>
            </w:tcMar>
          </w:tcPr>
          <w:p w14:paraId="30625772" w14:textId="77777777" w:rsidR="00B41097" w:rsidRDefault="00B41097">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644,67 DM</w:t>
            </w:r>
          </w:p>
        </w:tc>
      </w:tr>
      <w:tr w:rsidR="00221302" w14:paraId="2786D32B" w14:textId="77777777">
        <w:tc>
          <w:tcPr>
            <w:tcW w:w="4647" w:type="dxa"/>
            <w:tcBorders>
              <w:top w:val="nil"/>
              <w:left w:val="nil"/>
              <w:bottom w:val="nil"/>
              <w:right w:val="nil"/>
            </w:tcBorders>
            <w:tcMar>
              <w:top w:w="15" w:type="dxa"/>
              <w:left w:w="15" w:type="dxa"/>
              <w:bottom w:w="15" w:type="dxa"/>
              <w:right w:w="15" w:type="dxa"/>
            </w:tcMar>
          </w:tcPr>
          <w:p w14:paraId="6404B243"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 Nutzungs</w:t>
            </w:r>
            <w:r>
              <w:rPr>
                <w:rFonts w:ascii="DejaVuSansCondensed,DejaVuSansC" w:hAnsi="DejaVuSansCondensed,DejaVuSansC" w:cs="DejaVuSansCondensed,DejaVuSansC"/>
                <w:kern w:val="0"/>
                <w:sz w:val="19"/>
                <w:szCs w:val="19"/>
              </w:rPr>
              <w:softHyphen/>
              <w:t>ent</w:t>
            </w:r>
            <w:r>
              <w:rPr>
                <w:rFonts w:ascii="DejaVuSansCondensed,DejaVuSansC" w:hAnsi="DejaVuSansCondensed,DejaVuSansC" w:cs="DejaVuSansCondensed,DejaVuSansC"/>
                <w:kern w:val="0"/>
                <w:sz w:val="19"/>
                <w:szCs w:val="19"/>
              </w:rPr>
              <w:softHyphen/>
              <w:t>schä</w:t>
            </w:r>
            <w:r>
              <w:rPr>
                <w:rFonts w:ascii="DejaVuSansCondensed,DejaVuSansC" w:hAnsi="DejaVuSansCondensed,DejaVuSansC" w:cs="DejaVuSansCondensed,DejaVuSansC"/>
                <w:kern w:val="0"/>
                <w:sz w:val="19"/>
                <w:szCs w:val="19"/>
              </w:rPr>
              <w:softHyphen/>
              <w:t>digung</w:t>
            </w:r>
          </w:p>
        </w:tc>
        <w:tc>
          <w:tcPr>
            <w:tcW w:w="1342" w:type="dxa"/>
            <w:tcBorders>
              <w:top w:val="nil"/>
              <w:left w:val="nil"/>
              <w:bottom w:val="nil"/>
              <w:right w:val="nil"/>
            </w:tcBorders>
            <w:tcMar>
              <w:top w:w="15" w:type="dxa"/>
              <w:left w:w="15" w:type="dxa"/>
              <w:bottom w:w="15" w:type="dxa"/>
              <w:right w:w="15" w:type="dxa"/>
            </w:tcMar>
          </w:tcPr>
          <w:p w14:paraId="23379CCB" w14:textId="77777777" w:rsidR="00B41097" w:rsidRDefault="00B41097">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686,-- DM</w:t>
            </w:r>
          </w:p>
        </w:tc>
      </w:tr>
    </w:tbl>
    <w:p w14:paraId="7A5FCDAB"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8620A0A"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15</w:t>
      </w:r>
      <w:r>
        <w:rPr>
          <w:rFonts w:ascii="DejaVuSansCondensed,DejaVuSansC" w:hAnsi="DejaVuSansCondensed,DejaVuSansC" w:cs="DejaVuSansCondensed,DejaVuSansC"/>
          <w:kern w:val="0"/>
          <w:sz w:val="19"/>
          <w:szCs w:val="19"/>
        </w:rPr>
        <w:tab/>
        <w:t xml:space="preserve"> Nach der Anhörung des Klägers im Termin vom 13. Juli 1992 ist davon auszugehen,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dieser bei gehöriger Anstrengung in der Lage gewesen wäre, sich innerhalb von 14 Tagen die Mittel zum Ankauf eines Ersatzfahrzeuges zu beschaffen. Er hätte sich im Interesse einer Schadensminderung (§ 254 BGB) sofort nach dem Unfall bei seiner Sparkasse oder seinen Verwandten um einen Kredit bemühen müssen, wobei anzunehmen ist,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diesen alsbald erhalten hätte, jedenfalls so frühzeitig,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sich in 14 Tagen ein Fahrzeug hätte beschaffen können. Bei dem vom Landgericht angenommenen </w:t>
      </w:r>
      <w:proofErr w:type="spellStart"/>
      <w:r>
        <w:rPr>
          <w:rFonts w:ascii="DejaVuSansCondensed,DejaVuSansC" w:hAnsi="DejaVuSansCondensed,DejaVuSansC" w:cs="DejaVuSansCondensed,DejaVuSansC"/>
          <w:kern w:val="0"/>
          <w:sz w:val="19"/>
          <w:szCs w:val="19"/>
        </w:rPr>
        <w:t>Tagesatz</w:t>
      </w:r>
      <w:proofErr w:type="spellEnd"/>
      <w:r>
        <w:rPr>
          <w:rFonts w:ascii="DejaVuSansCondensed,DejaVuSansC" w:hAnsi="DejaVuSansCondensed,DejaVuSansC" w:cs="DejaVuSansCondensed,DejaVuSansC"/>
          <w:kern w:val="0"/>
          <w:sz w:val="19"/>
          <w:szCs w:val="19"/>
        </w:rPr>
        <w:t xml:space="preserve"> von 49, -- DM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140 d. A.), den der Kläger im Berufungsverfahren nicht angreift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160 d. </w:t>
      </w:r>
      <w:proofErr w:type="gramStart"/>
      <w:r>
        <w:rPr>
          <w:rFonts w:ascii="DejaVuSansCondensed,DejaVuSansC" w:hAnsi="DejaVuSansCondensed,DejaVuSansC" w:cs="DejaVuSansCondensed,DejaVuSansC"/>
          <w:kern w:val="0"/>
          <w:sz w:val="19"/>
          <w:szCs w:val="19"/>
        </w:rPr>
        <w:t>A. )</w:t>
      </w:r>
      <w:proofErr w:type="gramEnd"/>
      <w:r>
        <w:rPr>
          <w:rFonts w:ascii="DejaVuSansCondensed,DejaVuSansC" w:hAnsi="DejaVuSansCondensed,DejaVuSansC" w:cs="DejaVuSansCondensed,DejaVuSansC"/>
          <w:kern w:val="0"/>
          <w:sz w:val="19"/>
          <w:szCs w:val="19"/>
        </w:rPr>
        <w:t xml:space="preserve">, ergibt sich eine Nutzungsentschädigung von 686,-​- DM. </w:t>
      </w:r>
    </w:p>
    <w:p w14:paraId="7427F147"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B603438"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16</w:t>
      </w:r>
      <w:r>
        <w:rPr>
          <w:rFonts w:ascii="DejaVuSansCondensed,DejaVuSansC" w:hAnsi="DejaVuSansCondensed,DejaVuSansC" w:cs="DejaVuSansCondensed,DejaVuSansC"/>
          <w:kern w:val="0"/>
          <w:sz w:val="19"/>
          <w:szCs w:val="19"/>
        </w:rPr>
        <w:tab/>
      </w:r>
    </w:p>
    <w:tbl>
      <w:tblPr>
        <w:tblW w:w="0" w:type="auto"/>
        <w:tblInd w:w="1605" w:type="dxa"/>
        <w:tblCellMar>
          <w:left w:w="0" w:type="dxa"/>
          <w:right w:w="0" w:type="dxa"/>
        </w:tblCellMar>
        <w:tblLook w:val="0000" w:firstRow="0" w:lastRow="0" w:firstColumn="0" w:lastColumn="0" w:noHBand="0" w:noVBand="0"/>
      </w:tblPr>
      <w:tblGrid>
        <w:gridCol w:w="3497"/>
        <w:gridCol w:w="1273"/>
      </w:tblGrid>
      <w:tr w:rsidR="00221302" w14:paraId="07A1D122" w14:textId="77777777">
        <w:tc>
          <w:tcPr>
            <w:tcW w:w="4770" w:type="dxa"/>
            <w:gridSpan w:val="2"/>
            <w:tcBorders>
              <w:top w:val="nil"/>
              <w:left w:val="nil"/>
              <w:bottom w:val="nil"/>
              <w:right w:val="nil"/>
            </w:tcBorders>
            <w:tcMar>
              <w:top w:w="15" w:type="dxa"/>
              <w:left w:w="15" w:type="dxa"/>
              <w:bottom w:w="15" w:type="dxa"/>
              <w:right w:w="15" w:type="dxa"/>
            </w:tcMar>
          </w:tcPr>
          <w:p w14:paraId="74C012E5" w14:textId="77777777" w:rsidR="00B41097" w:rsidRDefault="00B41097">
            <w:pPr>
              <w:widowControl w:val="0"/>
              <w:autoSpaceDE w:val="0"/>
              <w:autoSpaceDN w:val="0"/>
              <w:adjustRightInd w:val="0"/>
              <w:spacing w:after="0" w:line="240" w:lineRule="auto"/>
              <w:rPr>
                <w:rFonts w:ascii="Times New Roman" w:hAnsi="Times New Roman" w:cs="Times New Roman"/>
                <w:kern w:val="0"/>
              </w:rPr>
            </w:pPr>
          </w:p>
        </w:tc>
      </w:tr>
      <w:tr w:rsidR="00221302" w14:paraId="18B25494" w14:textId="77777777">
        <w:tc>
          <w:tcPr>
            <w:tcW w:w="3497" w:type="dxa"/>
            <w:tcBorders>
              <w:top w:val="nil"/>
              <w:left w:val="nil"/>
              <w:bottom w:val="nil"/>
              <w:right w:val="nil"/>
            </w:tcBorders>
            <w:tcMar>
              <w:top w:w="15" w:type="dxa"/>
              <w:left w:w="15" w:type="dxa"/>
              <w:bottom w:w="15" w:type="dxa"/>
              <w:right w:w="15" w:type="dxa"/>
            </w:tcMar>
          </w:tcPr>
          <w:p w14:paraId="65E0B53B"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 Abschlepp</w:t>
            </w:r>
            <w:r>
              <w:rPr>
                <w:rFonts w:ascii="DejaVuSansCondensed,DejaVuSansC" w:hAnsi="DejaVuSansCondensed,DejaVuSansC" w:cs="DejaVuSansCondensed,DejaVuSansC"/>
                <w:kern w:val="0"/>
                <w:sz w:val="19"/>
                <w:szCs w:val="19"/>
              </w:rPr>
              <w:softHyphen/>
              <w:t>kosten (unstreitig)</w:t>
            </w:r>
          </w:p>
        </w:tc>
        <w:tc>
          <w:tcPr>
            <w:tcW w:w="1273" w:type="dxa"/>
            <w:tcBorders>
              <w:top w:val="nil"/>
              <w:left w:val="nil"/>
              <w:bottom w:val="nil"/>
              <w:right w:val="nil"/>
            </w:tcBorders>
            <w:tcMar>
              <w:top w:w="15" w:type="dxa"/>
              <w:left w:w="15" w:type="dxa"/>
              <w:bottom w:w="15" w:type="dxa"/>
              <w:right w:w="15" w:type="dxa"/>
            </w:tcMar>
          </w:tcPr>
          <w:p w14:paraId="789574E4" w14:textId="77777777" w:rsidR="00B41097" w:rsidRDefault="00B41097">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130,12 DM</w:t>
            </w:r>
          </w:p>
        </w:tc>
      </w:tr>
      <w:tr w:rsidR="00221302" w14:paraId="05549FA8" w14:textId="77777777">
        <w:tc>
          <w:tcPr>
            <w:tcW w:w="3497" w:type="dxa"/>
            <w:tcBorders>
              <w:top w:val="nil"/>
              <w:left w:val="nil"/>
              <w:bottom w:val="nil"/>
              <w:right w:val="nil"/>
            </w:tcBorders>
            <w:tcMar>
              <w:top w:w="15" w:type="dxa"/>
              <w:left w:w="15" w:type="dxa"/>
              <w:bottom w:w="15" w:type="dxa"/>
              <w:right w:w="15" w:type="dxa"/>
            </w:tcMar>
          </w:tcPr>
          <w:p w14:paraId="0C636E16"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 Pauschale</w:t>
            </w:r>
          </w:p>
        </w:tc>
        <w:tc>
          <w:tcPr>
            <w:tcW w:w="1273" w:type="dxa"/>
            <w:tcBorders>
              <w:top w:val="nil"/>
              <w:left w:val="nil"/>
              <w:bottom w:val="nil"/>
              <w:right w:val="nil"/>
            </w:tcBorders>
            <w:tcMar>
              <w:top w:w="15" w:type="dxa"/>
              <w:left w:w="15" w:type="dxa"/>
              <w:bottom w:w="15" w:type="dxa"/>
              <w:right w:w="15" w:type="dxa"/>
            </w:tcMar>
          </w:tcPr>
          <w:p w14:paraId="5D82FDEF"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40,-- DM.</w:t>
            </w:r>
          </w:p>
        </w:tc>
      </w:tr>
    </w:tbl>
    <w:p w14:paraId="1A7D9DBD"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0192DDB"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1010E5D"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17</w:t>
      </w:r>
      <w:r>
        <w:rPr>
          <w:rFonts w:ascii="DejaVuSansCondensed,DejaVuSansC" w:hAnsi="DejaVuSansCondensed,DejaVuSansC" w:cs="DejaVuSansCondensed,DejaVuSansC"/>
          <w:kern w:val="0"/>
          <w:sz w:val="19"/>
          <w:szCs w:val="19"/>
        </w:rPr>
        <w:tab/>
        <w:t xml:space="preserve"> Zwei Drittel dieses Gesamtschadens von 6.700,79 DM ergeben die dem Kläger zuzuerkennenden 4.467,19 DM. </w:t>
      </w:r>
    </w:p>
    <w:p w14:paraId="6090DD86"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08F526B"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18</w:t>
      </w:r>
      <w:r>
        <w:rPr>
          <w:rFonts w:ascii="DejaVuSansCondensed,DejaVuSansC" w:hAnsi="DejaVuSansCondensed,DejaVuSansC" w:cs="DejaVuSansCondensed,DejaVuSansC"/>
          <w:kern w:val="0"/>
          <w:sz w:val="19"/>
          <w:szCs w:val="19"/>
        </w:rPr>
        <w:tab/>
        <w:t xml:space="preserve"> Soweit das Landgericht dem Kläger aus 1.477,36 DM 9 % Zinsen seit dem 19. September 1990 zugesprochen hat, ist das Urteil nicht angefochten. Im </w:t>
      </w:r>
      <w:proofErr w:type="gramStart"/>
      <w:r>
        <w:rPr>
          <w:rFonts w:ascii="DejaVuSansCondensed,DejaVuSansC" w:hAnsi="DejaVuSansCondensed,DejaVuSansC" w:cs="DejaVuSansCondensed,DejaVuSansC"/>
          <w:kern w:val="0"/>
          <w:sz w:val="19"/>
          <w:szCs w:val="19"/>
        </w:rPr>
        <w:t>übrigen</w:t>
      </w:r>
      <w:proofErr w:type="gramEnd"/>
      <w:r>
        <w:rPr>
          <w:rFonts w:ascii="DejaVuSansCondensed,DejaVuSansC" w:hAnsi="DejaVuSansCondensed,DejaVuSansC" w:cs="DejaVuSansCondensed,DejaVuSansC"/>
          <w:kern w:val="0"/>
          <w:sz w:val="19"/>
          <w:szCs w:val="19"/>
        </w:rPr>
        <w:t xml:space="preserve"> hat der Kläger seinen Zinsanspruch im Termin vom 13. Juli 1992 auf 4 % ermäßigt, so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ihm dieser Zinssatz hinsichtlich des Differenzbetrages aus dem Gesichtspunkt des Verzuges ab 19. September 1990 zuzuerkennen ist. </w:t>
      </w:r>
    </w:p>
    <w:p w14:paraId="0559AC90"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C3DD40C"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19</w:t>
      </w:r>
      <w:r>
        <w:rPr>
          <w:rFonts w:ascii="DejaVuSansCondensed,DejaVuSansC" w:hAnsi="DejaVuSansCondensed,DejaVuSansC" w:cs="DejaVuSansCondensed,DejaVuSansC"/>
          <w:kern w:val="0"/>
          <w:sz w:val="19"/>
          <w:szCs w:val="19"/>
        </w:rPr>
        <w:tab/>
        <w:t xml:space="preserve"> Die Nebenentscheidungen folgen aus §§ 92, 97, 100 Abs. 2 und 4, 708 Nr. 10 und 713 ZPO. </w:t>
      </w:r>
    </w:p>
    <w:p w14:paraId="4AFCB1FE"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B452ABF"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20</w:t>
      </w:r>
      <w:r>
        <w:rPr>
          <w:rFonts w:ascii="DejaVuSansCondensed,DejaVuSansC" w:hAnsi="DejaVuSansCondensed,DejaVuSansC" w:cs="DejaVuSansCondensed,DejaVuSansC"/>
          <w:kern w:val="0"/>
          <w:sz w:val="19"/>
          <w:szCs w:val="19"/>
        </w:rPr>
        <w:tab/>
        <w:t xml:space="preserve"> Die Beschwer des Klägers beläuft sich auf 2.919,60 DM, diejenige des Beklagten zu 1) auf 5.624,45 DM und diejenige der Beklagten zu 2) auf 2.989,83 DM. </w:t>
      </w:r>
    </w:p>
    <w:p w14:paraId="0785DA8D"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51DFBAF" w14:textId="77777777" w:rsidR="00B41097" w:rsidRDefault="00B4109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21</w:t>
      </w:r>
      <w:r>
        <w:rPr>
          <w:rFonts w:ascii="DejaVuSansCondensed,DejaVuSansC" w:hAnsi="DejaVuSansCondensed,DejaVuSansC" w:cs="DejaVuSansCondensed,DejaVuSansC"/>
          <w:kern w:val="0"/>
          <w:sz w:val="19"/>
          <w:szCs w:val="19"/>
        </w:rPr>
        <w:tab/>
        <w:t xml:space="preserve"> Der Streitwert des Berufungsverfahrens beträgt 8.544,05 DM </w:t>
      </w:r>
    </w:p>
    <w:p w14:paraId="5A4D45B5" w14:textId="77777777" w:rsidR="00B41097" w:rsidRDefault="00B4109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178287D" w14:textId="77777777" w:rsidR="00B41097" w:rsidRDefault="00B41097">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59B6274A"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3C0E2098" w14:textId="77777777" w:rsidR="00B41097" w:rsidRDefault="00B4109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0505317A" w14:textId="77777777" w:rsidR="00B41097" w:rsidRDefault="00B41097">
      <w:pPr>
        <w:widowControl w:val="0"/>
        <w:autoSpaceDE w:val="0"/>
        <w:autoSpaceDN w:val="0"/>
        <w:adjustRightInd w:val="0"/>
        <w:spacing w:after="0" w:line="240" w:lineRule="auto"/>
        <w:rPr>
          <w:rFonts w:ascii="Times New Roman" w:hAnsi="Times New Roman" w:cs="Times New Roman"/>
          <w:kern w:val="0"/>
        </w:rPr>
      </w:pPr>
    </w:p>
    <w:sectPr w:rsidR="00B41097">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1E2AD" w14:textId="77777777" w:rsidR="00EB2A27" w:rsidRDefault="00EB2A27">
      <w:pPr>
        <w:spacing w:after="0" w:line="240" w:lineRule="auto"/>
      </w:pPr>
      <w:r>
        <w:separator/>
      </w:r>
    </w:p>
  </w:endnote>
  <w:endnote w:type="continuationSeparator" w:id="0">
    <w:p w14:paraId="6DFA1E6D" w14:textId="77777777" w:rsidR="00EB2A27" w:rsidRDefault="00EB2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4B3B" w14:textId="77777777" w:rsidR="00B41097" w:rsidRDefault="00B41097">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A467E" w14:textId="77777777" w:rsidR="00EB2A27" w:rsidRDefault="00EB2A27">
      <w:pPr>
        <w:spacing w:after="0" w:line="240" w:lineRule="auto"/>
      </w:pPr>
      <w:r>
        <w:separator/>
      </w:r>
    </w:p>
  </w:footnote>
  <w:footnote w:type="continuationSeparator" w:id="0">
    <w:p w14:paraId="5250F423" w14:textId="77777777" w:rsidR="00EB2A27" w:rsidRDefault="00EB2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85588" w14:textId="77777777" w:rsidR="00B41097" w:rsidRDefault="00B41097">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33991" w14:textId="77777777" w:rsidR="00B41097" w:rsidRDefault="00B41097">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97"/>
    <w:rsid w:val="00221302"/>
    <w:rsid w:val="00941120"/>
    <w:rsid w:val="00B41097"/>
    <w:rsid w:val="00BB6AF6"/>
    <w:rsid w:val="00EB2A27"/>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44282D"/>
  <w14:defaultImageDpi w14:val="0"/>
  <w15:docId w15:val="{64D27654-EC1D-40A2-AD70-E3E3E9AF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9EE927-2595-45FA-9A31-093E9C64A2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FD601B-ECF6-484F-B69F-3BE886B0F5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9BE407-23E0-4920-9602-8929993FF7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3</cp:revision>
  <dcterms:created xsi:type="dcterms:W3CDTF">2024-03-05T14:57:00Z</dcterms:created>
  <dcterms:modified xsi:type="dcterms:W3CDTF">2024-07-30T15:56:00Z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