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6DC58" w14:textId="77777777" w:rsidR="00280627" w:rsidRDefault="00280627" w:rsidP="00046490">
      <w:pPr>
        <w:jc w:val="center"/>
        <w:outlineLvl w:val="0"/>
        <w:rPr>
          <w:rFonts w:ascii="Garamond" w:hAnsi="Garamond"/>
          <w:b/>
          <w:color w:val="000000"/>
        </w:rPr>
      </w:pPr>
      <w:r w:rsidRPr="00472CA5">
        <w:rPr>
          <w:b/>
          <w:noProof/>
          <w:lang w:val="fr-FR" w:eastAsia="fr-FR"/>
        </w:rPr>
        <w:drawing>
          <wp:anchor distT="0" distB="0" distL="114300" distR="114300" simplePos="0" relativeHeight="251658240" behindDoc="0" locked="0" layoutInCell="1" allowOverlap="1" wp14:anchorId="55C91B7F" wp14:editId="1F30B58C">
            <wp:simplePos x="0" y="0"/>
            <wp:positionH relativeFrom="column">
              <wp:posOffset>-26294</wp:posOffset>
            </wp:positionH>
            <wp:positionV relativeFrom="paragraph">
              <wp:posOffset>-229906</wp:posOffset>
            </wp:positionV>
            <wp:extent cx="2045335" cy="612400"/>
            <wp:effectExtent l="0" t="0" r="0" b="0"/>
            <wp:wrapNone/>
            <wp:docPr id="4" name="Picture 4" descr="../../../CEQ%20Institute%20Logo%20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Q%20Institute%20Logo%20English.png"/>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2045335" cy="6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C00C84" w14:textId="77777777" w:rsidR="00280627" w:rsidRDefault="00280627" w:rsidP="00046490">
      <w:pPr>
        <w:jc w:val="center"/>
        <w:outlineLvl w:val="0"/>
        <w:rPr>
          <w:rFonts w:ascii="Garamond" w:hAnsi="Garamond"/>
          <w:b/>
          <w:color w:val="000000"/>
        </w:rPr>
      </w:pPr>
    </w:p>
    <w:p w14:paraId="55ACD0AF" w14:textId="77777777" w:rsidR="00280627" w:rsidRDefault="00280627" w:rsidP="00046490">
      <w:pPr>
        <w:jc w:val="center"/>
        <w:outlineLvl w:val="0"/>
        <w:rPr>
          <w:rFonts w:ascii="Garamond" w:hAnsi="Garamond"/>
          <w:b/>
          <w:color w:val="000000"/>
        </w:rPr>
      </w:pPr>
    </w:p>
    <w:p w14:paraId="61CEB445" w14:textId="77777777" w:rsidR="00280627" w:rsidRDefault="00280627" w:rsidP="0084160E">
      <w:pPr>
        <w:outlineLvl w:val="0"/>
        <w:rPr>
          <w:rFonts w:ascii="Garamond" w:hAnsi="Garamond"/>
          <w:b/>
          <w:color w:val="000000"/>
        </w:rPr>
      </w:pPr>
    </w:p>
    <w:p w14:paraId="51E6AE15" w14:textId="77777777" w:rsidR="00730551" w:rsidRPr="004E3CFF" w:rsidRDefault="00730551" w:rsidP="00730551">
      <w:pPr>
        <w:jc w:val="center"/>
        <w:rPr>
          <w:rFonts w:ascii="Garamond" w:hAnsi="Garamond"/>
          <w:b/>
          <w:color w:val="000000" w:themeColor="text1"/>
          <w:sz w:val="20"/>
          <w:szCs w:val="20"/>
        </w:rPr>
      </w:pPr>
      <w:r w:rsidRPr="004E3CFF">
        <w:rPr>
          <w:rFonts w:ascii="Garamond" w:hAnsi="Garamond"/>
          <w:b/>
          <w:sz w:val="20"/>
          <w:szCs w:val="20"/>
        </w:rPr>
        <w:t xml:space="preserve">Part IV- The Commitment to Equity Assessment Tools </w:t>
      </w:r>
    </w:p>
    <w:p w14:paraId="19B12E81" w14:textId="77777777" w:rsidR="0072035D" w:rsidRPr="008B2681" w:rsidRDefault="0072035D" w:rsidP="00F1173D">
      <w:pPr>
        <w:jc w:val="center"/>
        <w:outlineLvl w:val="0"/>
        <w:rPr>
          <w:rFonts w:ascii="Garamond" w:eastAsia="Times New Roman" w:hAnsi="Garamond"/>
          <w:b/>
          <w:iCs/>
          <w:color w:val="000000"/>
          <w:sz w:val="18"/>
          <w:szCs w:val="18"/>
        </w:rPr>
      </w:pPr>
    </w:p>
    <w:p w14:paraId="3D51BA4B" w14:textId="77777777" w:rsidR="00DD0EC4" w:rsidRPr="00C433FF" w:rsidRDefault="00C433FF" w:rsidP="00DD0EC4">
      <w:pPr>
        <w:jc w:val="center"/>
        <w:rPr>
          <w:rStyle w:val="Hipervnculo"/>
          <w:rFonts w:ascii="Garamond" w:eastAsia="Times New Roman" w:hAnsi="Garamond"/>
          <w:b/>
          <w:iCs/>
          <w:sz w:val="18"/>
          <w:szCs w:val="18"/>
        </w:rPr>
      </w:pPr>
      <w:r>
        <w:rPr>
          <w:rFonts w:ascii="Garamond" w:eastAsia="Times New Roman" w:hAnsi="Garamond"/>
          <w:b/>
          <w:iCs/>
          <w:color w:val="000000"/>
          <w:sz w:val="18"/>
          <w:szCs w:val="18"/>
        </w:rPr>
        <w:fldChar w:fldCharType="begin"/>
      </w:r>
      <w:r>
        <w:rPr>
          <w:rFonts w:ascii="Garamond" w:eastAsia="Times New Roman" w:hAnsi="Garamond"/>
          <w:b/>
          <w:iCs/>
          <w:color w:val="000000"/>
          <w:sz w:val="18"/>
          <w:szCs w:val="18"/>
        </w:rPr>
        <w:instrText xml:space="preserve"> HYPERLINK "http://www.commitmentoequity.org/handbook/" </w:instrText>
      </w:r>
      <w:r>
        <w:rPr>
          <w:rFonts w:ascii="Garamond" w:eastAsia="Times New Roman" w:hAnsi="Garamond"/>
          <w:b/>
          <w:iCs/>
          <w:color w:val="000000"/>
          <w:sz w:val="18"/>
          <w:szCs w:val="18"/>
        </w:rPr>
        <w:fldChar w:fldCharType="separate"/>
      </w:r>
      <w:r w:rsidR="00DD0EC4" w:rsidRPr="00C433FF">
        <w:rPr>
          <w:rStyle w:val="Hipervnculo"/>
          <w:rFonts w:ascii="Garamond" w:eastAsia="Times New Roman" w:hAnsi="Garamond"/>
          <w:b/>
          <w:iCs/>
          <w:sz w:val="18"/>
          <w:szCs w:val="18"/>
        </w:rPr>
        <w:t>Commitment to Equity Handbook</w:t>
      </w:r>
    </w:p>
    <w:p w14:paraId="0364A844" w14:textId="77777777" w:rsidR="00DD0EC4" w:rsidRPr="00C433FF" w:rsidRDefault="00DD0EC4" w:rsidP="00DD0EC4">
      <w:pPr>
        <w:jc w:val="center"/>
        <w:rPr>
          <w:rStyle w:val="Hipervnculo"/>
          <w:rFonts w:ascii="Garamond" w:eastAsia="Times New Roman" w:hAnsi="Garamond"/>
          <w:b/>
          <w:iCs/>
          <w:sz w:val="18"/>
          <w:szCs w:val="18"/>
        </w:rPr>
      </w:pPr>
      <w:r w:rsidRPr="00C433FF">
        <w:rPr>
          <w:rStyle w:val="Hipervnculo"/>
          <w:rFonts w:ascii="Garamond" w:eastAsia="Times New Roman" w:hAnsi="Garamond"/>
          <w:b/>
          <w:iCs/>
          <w:sz w:val="18"/>
          <w:szCs w:val="18"/>
        </w:rPr>
        <w:t xml:space="preserve">Estimating the Impact of Fiscal Policy on Inequality and Poverty </w:t>
      </w:r>
    </w:p>
    <w:p w14:paraId="4797E416" w14:textId="77777777" w:rsidR="00DD0EC4" w:rsidRPr="00C433FF" w:rsidRDefault="00DD0EC4" w:rsidP="00F1173D">
      <w:pPr>
        <w:jc w:val="center"/>
        <w:outlineLvl w:val="0"/>
        <w:rPr>
          <w:rStyle w:val="Hipervnculo"/>
          <w:rFonts w:ascii="Garamond" w:eastAsia="Times New Roman" w:hAnsi="Garamond"/>
          <w:b/>
          <w:iCs/>
          <w:sz w:val="18"/>
          <w:szCs w:val="18"/>
        </w:rPr>
      </w:pPr>
      <w:r w:rsidRPr="00C433FF">
        <w:rPr>
          <w:rStyle w:val="Hipervnculo"/>
          <w:rFonts w:ascii="Garamond" w:eastAsia="Times New Roman" w:hAnsi="Garamond"/>
          <w:b/>
          <w:iCs/>
          <w:sz w:val="18"/>
          <w:szCs w:val="18"/>
        </w:rPr>
        <w:t xml:space="preserve">Brookings Institution Press and CEQ Institute, Tulane University </w:t>
      </w:r>
    </w:p>
    <w:p w14:paraId="2916005A" w14:textId="77777777" w:rsidR="00DD0EC4" w:rsidRPr="00DD0EC4" w:rsidRDefault="00DD0EC4" w:rsidP="00F1173D">
      <w:pPr>
        <w:jc w:val="center"/>
        <w:outlineLvl w:val="0"/>
        <w:rPr>
          <w:rFonts w:ascii="Garamond" w:eastAsia="Times New Roman" w:hAnsi="Garamond"/>
          <w:b/>
          <w:iCs/>
          <w:color w:val="000000"/>
          <w:sz w:val="18"/>
          <w:szCs w:val="18"/>
        </w:rPr>
      </w:pPr>
      <w:r w:rsidRPr="00C433FF">
        <w:rPr>
          <w:rStyle w:val="Hipervnculo"/>
          <w:rFonts w:ascii="Garamond" w:eastAsia="Times New Roman" w:hAnsi="Garamond"/>
          <w:b/>
          <w:iCs/>
          <w:sz w:val="18"/>
          <w:szCs w:val="18"/>
        </w:rPr>
        <w:t>Nora Lustig (editor)</w:t>
      </w:r>
      <w:r w:rsidR="00C433FF">
        <w:rPr>
          <w:rFonts w:ascii="Garamond" w:eastAsia="Times New Roman" w:hAnsi="Garamond"/>
          <w:b/>
          <w:iCs/>
          <w:color w:val="000000"/>
          <w:sz w:val="18"/>
          <w:szCs w:val="18"/>
        </w:rPr>
        <w:fldChar w:fldCharType="end"/>
      </w:r>
    </w:p>
    <w:p w14:paraId="01AD095F" w14:textId="77777777" w:rsidR="004E666C" w:rsidRDefault="004E666C" w:rsidP="00F1173D">
      <w:pPr>
        <w:jc w:val="center"/>
        <w:outlineLvl w:val="0"/>
        <w:rPr>
          <w:rFonts w:ascii="Garamond" w:eastAsia="Times New Roman" w:hAnsi="Garamond"/>
          <w:iCs/>
          <w:color w:val="000000"/>
          <w:sz w:val="18"/>
          <w:szCs w:val="18"/>
        </w:rPr>
      </w:pPr>
    </w:p>
    <w:p w14:paraId="4C1846CD" w14:textId="5560E7E4" w:rsidR="00DD0EC4" w:rsidRDefault="00795B84" w:rsidP="00F1173D">
      <w:pPr>
        <w:jc w:val="center"/>
        <w:outlineLvl w:val="0"/>
        <w:rPr>
          <w:rFonts w:ascii="Garamond" w:eastAsia="Times New Roman" w:hAnsi="Garamond"/>
          <w:iCs/>
          <w:color w:val="000000"/>
          <w:sz w:val="18"/>
          <w:szCs w:val="18"/>
        </w:rPr>
      </w:pPr>
      <w:r>
        <w:rPr>
          <w:rFonts w:ascii="Garamond" w:eastAsia="Times New Roman" w:hAnsi="Garamond"/>
          <w:iCs/>
          <w:color w:val="000000"/>
          <w:sz w:val="18"/>
          <w:szCs w:val="18"/>
        </w:rPr>
        <w:t>March 1</w:t>
      </w:r>
      <w:r w:rsidR="00164A71">
        <w:rPr>
          <w:rFonts w:ascii="Garamond" w:eastAsia="Times New Roman" w:hAnsi="Garamond"/>
          <w:iCs/>
          <w:color w:val="000000"/>
          <w:sz w:val="18"/>
          <w:szCs w:val="18"/>
        </w:rPr>
        <w:t>,</w:t>
      </w:r>
      <w:r w:rsidR="00836055" w:rsidRPr="00DD0EC4">
        <w:rPr>
          <w:rFonts w:ascii="Garamond" w:eastAsia="Times New Roman" w:hAnsi="Garamond"/>
          <w:iCs/>
          <w:color w:val="000000"/>
          <w:sz w:val="18"/>
          <w:szCs w:val="18"/>
        </w:rPr>
        <w:t xml:space="preserve"> </w:t>
      </w:r>
      <w:r w:rsidR="00DD0EC4" w:rsidRPr="00DD0EC4">
        <w:rPr>
          <w:rFonts w:ascii="Garamond" w:eastAsia="Times New Roman" w:hAnsi="Garamond"/>
          <w:iCs/>
          <w:color w:val="000000"/>
          <w:sz w:val="18"/>
          <w:szCs w:val="18"/>
        </w:rPr>
        <w:t>201</w:t>
      </w:r>
      <w:r w:rsidR="005E15BA">
        <w:rPr>
          <w:rFonts w:ascii="Garamond" w:eastAsia="Times New Roman" w:hAnsi="Garamond"/>
          <w:iCs/>
          <w:color w:val="000000"/>
          <w:sz w:val="18"/>
          <w:szCs w:val="18"/>
        </w:rPr>
        <w:t>8</w:t>
      </w:r>
    </w:p>
    <w:p w14:paraId="5A60F299" w14:textId="77777777" w:rsidR="00EE4B10" w:rsidRDefault="00EE4B10" w:rsidP="00DD0EC4">
      <w:pPr>
        <w:jc w:val="center"/>
        <w:rPr>
          <w:rFonts w:ascii="Garamond" w:eastAsia="Times New Roman" w:hAnsi="Garamond"/>
          <w:iCs/>
          <w:color w:val="000000"/>
          <w:sz w:val="18"/>
          <w:szCs w:val="18"/>
        </w:rPr>
      </w:pPr>
    </w:p>
    <w:p w14:paraId="5447C666" w14:textId="77777777" w:rsidR="0065486B" w:rsidRDefault="0065486B" w:rsidP="0065486B">
      <w:pPr>
        <w:jc w:val="center"/>
        <w:outlineLvl w:val="0"/>
        <w:rPr>
          <w:rFonts w:ascii="Garamond" w:hAnsi="Garamond"/>
          <w:b/>
          <w:color w:val="000000"/>
        </w:rPr>
      </w:pPr>
      <w:r w:rsidRPr="007166C1">
        <w:rPr>
          <w:rFonts w:ascii="Garamond" w:hAnsi="Garamond"/>
          <w:b/>
          <w:color w:val="000000"/>
        </w:rPr>
        <w:t>Data and Software Requirements</w:t>
      </w:r>
    </w:p>
    <w:p w14:paraId="609329B1" w14:textId="77777777" w:rsidR="0065486B" w:rsidRPr="007166C1" w:rsidRDefault="0065486B" w:rsidP="0065486B">
      <w:pPr>
        <w:jc w:val="center"/>
        <w:outlineLvl w:val="0"/>
        <w:rPr>
          <w:rFonts w:ascii="Garamond" w:hAnsi="Garamond"/>
          <w:b/>
          <w:color w:val="000000"/>
        </w:rPr>
      </w:pPr>
      <w:r>
        <w:rPr>
          <w:rFonts w:ascii="Garamond" w:hAnsi="Garamond"/>
          <w:b/>
          <w:color w:val="000000"/>
        </w:rPr>
        <w:t xml:space="preserve">CEQ Team </w:t>
      </w:r>
    </w:p>
    <w:p w14:paraId="08B3680F" w14:textId="77777777" w:rsidR="000770A6" w:rsidRPr="000770A6" w:rsidRDefault="000770A6" w:rsidP="000770A6">
      <w:pPr>
        <w:jc w:val="both"/>
        <w:rPr>
          <w:rFonts w:ascii="Garamond" w:eastAsia="Times New Roman" w:hAnsi="Garamond"/>
          <w:iCs/>
          <w:color w:val="000000"/>
          <w:sz w:val="18"/>
          <w:szCs w:val="18"/>
        </w:rPr>
      </w:pPr>
    </w:p>
    <w:p w14:paraId="65ABCB7B" w14:textId="77777777" w:rsidR="00E4377A" w:rsidRPr="002D5E14" w:rsidRDefault="00E4377A" w:rsidP="00E4377A">
      <w:pPr>
        <w:jc w:val="both"/>
        <w:rPr>
          <w:rFonts w:ascii="Garamond" w:eastAsia="Times New Roman" w:hAnsi="Garamond"/>
          <w:iCs/>
          <w:color w:val="000000"/>
        </w:rPr>
      </w:pPr>
      <w:r>
        <w:rPr>
          <w:rFonts w:ascii="Garamond" w:eastAsia="Times New Roman" w:hAnsi="Garamond"/>
          <w:iCs/>
          <w:color w:val="000000"/>
        </w:rPr>
        <w:t>T</w:t>
      </w:r>
      <w:r w:rsidRPr="002D5E14">
        <w:rPr>
          <w:rFonts w:ascii="Garamond" w:eastAsia="Times New Roman" w:hAnsi="Garamond"/>
          <w:iCs/>
          <w:color w:val="000000"/>
        </w:rPr>
        <w:t>h</w:t>
      </w:r>
      <w:r>
        <w:rPr>
          <w:rFonts w:ascii="Garamond" w:eastAsia="Times New Roman" w:hAnsi="Garamond"/>
          <w:iCs/>
          <w:color w:val="000000"/>
        </w:rPr>
        <w:t>e</w:t>
      </w:r>
      <w:r w:rsidRPr="002D5E14">
        <w:rPr>
          <w:rFonts w:ascii="Garamond" w:eastAsia="Times New Roman" w:hAnsi="Garamond"/>
          <w:iCs/>
          <w:color w:val="000000"/>
        </w:rPr>
        <w:t xml:space="preserve"> Commitment to Equity (CEQ) </w:t>
      </w:r>
      <w:r w:rsidR="000770A6" w:rsidRPr="002D5E14">
        <w:rPr>
          <w:rFonts w:ascii="Garamond" w:eastAsia="Times New Roman" w:hAnsi="Garamond"/>
          <w:iCs/>
          <w:color w:val="000000"/>
        </w:rPr>
        <w:t xml:space="preserve">Handbook is a step-by-step guide to applying the </w:t>
      </w:r>
      <w:r>
        <w:rPr>
          <w:rFonts w:ascii="Garamond" w:eastAsia="Times New Roman" w:hAnsi="Garamond"/>
          <w:iCs/>
          <w:color w:val="000000"/>
        </w:rPr>
        <w:t xml:space="preserve">fiscal </w:t>
      </w:r>
      <w:r w:rsidR="000770A6" w:rsidRPr="002D5E14">
        <w:rPr>
          <w:rFonts w:ascii="Garamond" w:eastAsia="Times New Roman" w:hAnsi="Garamond"/>
          <w:iCs/>
          <w:color w:val="000000"/>
        </w:rPr>
        <w:t xml:space="preserve">incidence analysis </w:t>
      </w:r>
      <w:r>
        <w:rPr>
          <w:rFonts w:ascii="Garamond" w:eastAsia="Times New Roman" w:hAnsi="Garamond"/>
          <w:iCs/>
          <w:color w:val="000000"/>
        </w:rPr>
        <w:t xml:space="preserve">that is at the heart of </w:t>
      </w:r>
      <w:r w:rsidR="000770A6" w:rsidRPr="002D5E14">
        <w:rPr>
          <w:rFonts w:ascii="Garamond" w:eastAsia="Times New Roman" w:hAnsi="Garamond"/>
          <w:iCs/>
          <w:color w:val="000000"/>
        </w:rPr>
        <w:t>CEQ</w:t>
      </w:r>
      <w:r>
        <w:rPr>
          <w:rFonts w:ascii="Garamond" w:eastAsia="Times New Roman" w:hAnsi="Garamond"/>
          <w:iCs/>
          <w:color w:val="000000"/>
        </w:rPr>
        <w:t xml:space="preserve"> </w:t>
      </w:r>
      <w:r w:rsidR="000770A6" w:rsidRPr="002D5E14">
        <w:rPr>
          <w:rFonts w:ascii="Garamond" w:eastAsia="Times New Roman" w:hAnsi="Garamond"/>
          <w:iCs/>
          <w:color w:val="000000"/>
        </w:rPr>
        <w:t xml:space="preserve">Assessments. </w:t>
      </w:r>
      <w:r>
        <w:rPr>
          <w:rFonts w:ascii="Garamond" w:eastAsia="Times New Roman" w:hAnsi="Garamond"/>
          <w:iCs/>
          <w:color w:val="000000"/>
        </w:rPr>
        <w:t>T</w:t>
      </w:r>
      <w:r w:rsidRPr="002D5E14">
        <w:rPr>
          <w:rFonts w:ascii="Garamond" w:eastAsia="Times New Roman" w:hAnsi="Garamond"/>
          <w:iCs/>
          <w:color w:val="000000"/>
        </w:rPr>
        <w:t xml:space="preserve">his </w:t>
      </w:r>
      <w:r>
        <w:rPr>
          <w:rFonts w:ascii="Garamond" w:eastAsia="Times New Roman" w:hAnsi="Garamond"/>
          <w:iCs/>
          <w:color w:val="000000"/>
        </w:rPr>
        <w:t>c</w:t>
      </w:r>
      <w:r w:rsidRPr="002D5E14">
        <w:rPr>
          <w:rFonts w:ascii="Garamond" w:eastAsia="Times New Roman" w:hAnsi="Garamond"/>
          <w:iCs/>
          <w:color w:val="000000"/>
        </w:rPr>
        <w:t xml:space="preserve">hapter </w:t>
      </w:r>
      <w:r>
        <w:rPr>
          <w:rFonts w:ascii="Garamond" w:eastAsia="Times New Roman" w:hAnsi="Garamond"/>
          <w:iCs/>
          <w:color w:val="000000"/>
        </w:rPr>
        <w:t>will present,</w:t>
      </w:r>
      <w:r w:rsidRPr="002D5E14">
        <w:rPr>
          <w:rFonts w:ascii="Garamond" w:eastAsia="Times New Roman" w:hAnsi="Garamond"/>
          <w:iCs/>
          <w:color w:val="000000"/>
        </w:rPr>
        <w:t xml:space="preserve"> in detail</w:t>
      </w:r>
      <w:r>
        <w:rPr>
          <w:rFonts w:ascii="Garamond" w:eastAsia="Times New Roman" w:hAnsi="Garamond"/>
          <w:iCs/>
          <w:color w:val="000000"/>
        </w:rPr>
        <w:t>,</w:t>
      </w:r>
      <w:r w:rsidRPr="002D5E14">
        <w:rPr>
          <w:rFonts w:ascii="Garamond" w:eastAsia="Times New Roman" w:hAnsi="Garamond"/>
          <w:iCs/>
          <w:color w:val="000000"/>
        </w:rPr>
        <w:t xml:space="preserve"> the </w:t>
      </w:r>
      <w:r>
        <w:rPr>
          <w:rFonts w:ascii="Garamond" w:eastAsia="Times New Roman" w:hAnsi="Garamond"/>
          <w:iCs/>
          <w:color w:val="000000"/>
        </w:rPr>
        <w:t>elements necessary for the completion of the first steps in a CEQ Assessment: information and data gathering, and software preparation.</w:t>
      </w:r>
      <w:r>
        <w:rPr>
          <w:rStyle w:val="Refdenotaalpie"/>
          <w:rFonts w:ascii="Garamond" w:eastAsia="Times New Roman" w:hAnsi="Garamond"/>
          <w:iCs/>
          <w:color w:val="000000"/>
        </w:rPr>
        <w:footnoteReference w:id="2"/>
      </w:r>
    </w:p>
    <w:p w14:paraId="0AAA2B31" w14:textId="77777777" w:rsidR="00E20D77" w:rsidRPr="002D5E14" w:rsidRDefault="00E20D77" w:rsidP="000770A6">
      <w:pPr>
        <w:jc w:val="both"/>
        <w:rPr>
          <w:rFonts w:ascii="Garamond" w:eastAsia="Times New Roman" w:hAnsi="Garamond"/>
          <w:iCs/>
          <w:color w:val="000000"/>
        </w:rPr>
      </w:pPr>
    </w:p>
    <w:p w14:paraId="02C9470B" w14:textId="77777777" w:rsidR="00891DEF" w:rsidRPr="002D5E14" w:rsidRDefault="007112DC" w:rsidP="00F1173D">
      <w:pPr>
        <w:jc w:val="both"/>
        <w:outlineLvl w:val="0"/>
        <w:rPr>
          <w:rFonts w:ascii="Garamond" w:eastAsia="Times New Roman" w:hAnsi="Garamond"/>
          <w:b/>
          <w:iCs/>
          <w:color w:val="000000"/>
        </w:rPr>
      </w:pPr>
      <w:r w:rsidRPr="002D5E14">
        <w:rPr>
          <w:rFonts w:ascii="Garamond" w:eastAsia="Times New Roman" w:hAnsi="Garamond"/>
          <w:b/>
          <w:iCs/>
          <w:color w:val="000000"/>
        </w:rPr>
        <w:t>I</w:t>
      </w:r>
      <w:r w:rsidR="00F1173D">
        <w:rPr>
          <w:rFonts w:ascii="Garamond" w:eastAsia="Times New Roman" w:hAnsi="Garamond"/>
          <w:b/>
          <w:iCs/>
          <w:color w:val="000000"/>
        </w:rPr>
        <w:t>.</w:t>
      </w:r>
      <w:r w:rsidRPr="002D5E14">
        <w:rPr>
          <w:rFonts w:ascii="Garamond" w:eastAsia="Times New Roman" w:hAnsi="Garamond"/>
          <w:b/>
          <w:iCs/>
          <w:color w:val="000000"/>
        </w:rPr>
        <w:t xml:space="preserve"> </w:t>
      </w:r>
      <w:r w:rsidR="00891DEF" w:rsidRPr="002D5E14">
        <w:rPr>
          <w:rFonts w:ascii="Garamond" w:eastAsia="Times New Roman" w:hAnsi="Garamond"/>
          <w:b/>
          <w:iCs/>
          <w:color w:val="000000"/>
        </w:rPr>
        <w:t>Data Requirement</w:t>
      </w:r>
      <w:r w:rsidR="00E4377A">
        <w:rPr>
          <w:rFonts w:ascii="Garamond" w:eastAsia="Times New Roman" w:hAnsi="Garamond"/>
          <w:b/>
          <w:iCs/>
          <w:color w:val="000000"/>
        </w:rPr>
        <w:t>s</w:t>
      </w:r>
    </w:p>
    <w:p w14:paraId="7EB731BB" w14:textId="77777777" w:rsidR="00E4377A" w:rsidRDefault="00007D01" w:rsidP="003A2FEF">
      <w:pPr>
        <w:jc w:val="both"/>
        <w:rPr>
          <w:rFonts w:ascii="Garamond" w:eastAsia="Calibri" w:hAnsi="Garamond"/>
          <w:lang w:val="en-US" w:eastAsia="ja-JP"/>
        </w:rPr>
      </w:pPr>
      <w:r w:rsidRPr="002D5E14">
        <w:rPr>
          <w:rFonts w:ascii="Garamond" w:eastAsia="Calibri" w:hAnsi="Garamond"/>
          <w:lang w:val="en-US" w:eastAsia="ja-JP"/>
        </w:rPr>
        <w:t>A CEQ Assessment requires</w:t>
      </w:r>
      <w:r w:rsidR="0078765C">
        <w:rPr>
          <w:rFonts w:ascii="Garamond" w:eastAsia="Calibri" w:hAnsi="Garamond"/>
          <w:lang w:val="en-US" w:eastAsia="ja-JP"/>
        </w:rPr>
        <w:t xml:space="preserve"> three </w:t>
      </w:r>
      <w:r w:rsidR="00FE06B8">
        <w:rPr>
          <w:rFonts w:ascii="Garamond" w:eastAsia="Calibri" w:hAnsi="Garamond"/>
          <w:lang w:val="en-US" w:eastAsia="ja-JP"/>
        </w:rPr>
        <w:t>types</w:t>
      </w:r>
      <w:r w:rsidR="0078765C">
        <w:rPr>
          <w:rFonts w:ascii="Garamond" w:eastAsia="Calibri" w:hAnsi="Garamond"/>
          <w:lang w:val="en-US" w:eastAsia="ja-JP"/>
        </w:rPr>
        <w:t xml:space="preserve"> of data</w:t>
      </w:r>
      <w:r w:rsidR="00FE06B8">
        <w:rPr>
          <w:rFonts w:ascii="Garamond" w:eastAsia="Calibri" w:hAnsi="Garamond"/>
          <w:lang w:val="en-US" w:eastAsia="ja-JP"/>
        </w:rPr>
        <w:t>:</w:t>
      </w:r>
      <w:r w:rsidRPr="002D5E14">
        <w:rPr>
          <w:rFonts w:ascii="Garamond" w:eastAsia="Calibri" w:hAnsi="Garamond"/>
          <w:lang w:val="en-US" w:eastAsia="ja-JP"/>
        </w:rPr>
        <w:t xml:space="preserve"> micro</w:t>
      </w:r>
      <w:r w:rsidR="00E4377A">
        <w:rPr>
          <w:rFonts w:ascii="Garamond" w:eastAsia="Calibri" w:hAnsi="Garamond"/>
          <w:lang w:val="en-US" w:eastAsia="ja-JP"/>
        </w:rPr>
        <w:t>economic,</w:t>
      </w:r>
      <w:r w:rsidRPr="002D5E14">
        <w:rPr>
          <w:rFonts w:ascii="Garamond" w:eastAsia="Calibri" w:hAnsi="Garamond"/>
          <w:lang w:val="en-US" w:eastAsia="ja-JP"/>
        </w:rPr>
        <w:t xml:space="preserve"> </w:t>
      </w:r>
      <w:r w:rsidR="00E4377A">
        <w:rPr>
          <w:rFonts w:ascii="Garamond" w:eastAsia="Calibri" w:hAnsi="Garamond"/>
          <w:lang w:val="en-US" w:eastAsia="ja-JP"/>
        </w:rPr>
        <w:t>fiscal-</w:t>
      </w:r>
      <w:r w:rsidRPr="002D5E14">
        <w:rPr>
          <w:rFonts w:ascii="Garamond" w:eastAsia="Calibri" w:hAnsi="Garamond"/>
          <w:lang w:val="en-US" w:eastAsia="ja-JP"/>
        </w:rPr>
        <w:t>administrative</w:t>
      </w:r>
      <w:r w:rsidR="00E4377A">
        <w:rPr>
          <w:rFonts w:ascii="Garamond" w:eastAsia="Calibri" w:hAnsi="Garamond"/>
          <w:lang w:val="en-US" w:eastAsia="ja-JP"/>
        </w:rPr>
        <w:t xml:space="preserve">, and </w:t>
      </w:r>
      <w:r w:rsidR="0007594E">
        <w:rPr>
          <w:rFonts w:ascii="Garamond" w:eastAsia="Calibri" w:hAnsi="Garamond"/>
          <w:lang w:val="en-US" w:eastAsia="ja-JP"/>
        </w:rPr>
        <w:t xml:space="preserve">(some) </w:t>
      </w:r>
      <w:r w:rsidR="00E4377A">
        <w:rPr>
          <w:rFonts w:ascii="Garamond" w:eastAsia="Calibri" w:hAnsi="Garamond"/>
          <w:lang w:val="en-US" w:eastAsia="ja-JP"/>
        </w:rPr>
        <w:t>macroeconomic</w:t>
      </w:r>
      <w:r w:rsidRPr="002D5E14">
        <w:rPr>
          <w:rFonts w:ascii="Garamond" w:eastAsia="Calibri" w:hAnsi="Garamond"/>
          <w:lang w:val="en-US" w:eastAsia="ja-JP"/>
        </w:rPr>
        <w:t xml:space="preserve">. The </w:t>
      </w:r>
      <w:r w:rsidR="00E4377A">
        <w:rPr>
          <w:rFonts w:ascii="Garamond" w:eastAsia="Calibri" w:hAnsi="Garamond"/>
          <w:lang w:val="en-US" w:eastAsia="ja-JP"/>
        </w:rPr>
        <w:t xml:space="preserve">necessary </w:t>
      </w:r>
      <w:r w:rsidRPr="002D5E14">
        <w:rPr>
          <w:rFonts w:ascii="Garamond" w:eastAsia="Calibri" w:hAnsi="Garamond"/>
          <w:lang w:val="en-US" w:eastAsia="ja-JP"/>
        </w:rPr>
        <w:t>micro</w:t>
      </w:r>
      <w:r w:rsidR="00E4377A">
        <w:rPr>
          <w:rFonts w:ascii="Garamond" w:eastAsia="Calibri" w:hAnsi="Garamond"/>
          <w:lang w:val="en-US" w:eastAsia="ja-JP"/>
        </w:rPr>
        <w:t xml:space="preserve">economic </w:t>
      </w:r>
      <w:r w:rsidRPr="002D5E14">
        <w:rPr>
          <w:rFonts w:ascii="Garamond" w:eastAsia="Calibri" w:hAnsi="Garamond"/>
          <w:lang w:val="en-US" w:eastAsia="ja-JP"/>
        </w:rPr>
        <w:t xml:space="preserve">data </w:t>
      </w:r>
      <w:r w:rsidR="00E4377A">
        <w:rPr>
          <w:rFonts w:ascii="Garamond" w:eastAsia="Calibri" w:hAnsi="Garamond"/>
          <w:lang w:val="en-US" w:eastAsia="ja-JP"/>
        </w:rPr>
        <w:t xml:space="preserve">is typically available in a </w:t>
      </w:r>
      <w:r w:rsidRPr="002D5E14">
        <w:rPr>
          <w:rFonts w:ascii="Garamond" w:eastAsia="Calibri" w:hAnsi="Garamond"/>
          <w:lang w:val="en-US" w:eastAsia="ja-JP"/>
        </w:rPr>
        <w:t>household</w:t>
      </w:r>
      <w:r w:rsidR="00E4377A">
        <w:rPr>
          <w:rFonts w:ascii="Garamond" w:eastAsia="Calibri" w:hAnsi="Garamond"/>
          <w:lang w:val="en-US" w:eastAsia="ja-JP"/>
        </w:rPr>
        <w:t xml:space="preserve"> consumption</w:t>
      </w:r>
      <w:r w:rsidR="006F2338">
        <w:rPr>
          <w:rFonts w:ascii="Garamond" w:eastAsia="Calibri" w:hAnsi="Garamond"/>
          <w:lang w:val="en-US" w:eastAsia="ja-JP"/>
        </w:rPr>
        <w:t xml:space="preserve"> expenditure</w:t>
      </w:r>
      <w:r w:rsidR="00E4377A">
        <w:rPr>
          <w:rFonts w:ascii="Garamond" w:eastAsia="Calibri" w:hAnsi="Garamond"/>
          <w:lang w:val="en-US" w:eastAsia="ja-JP"/>
        </w:rPr>
        <w:t xml:space="preserve"> </w:t>
      </w:r>
      <w:r w:rsidR="006F2338">
        <w:rPr>
          <w:rFonts w:ascii="Garamond" w:eastAsia="Calibri" w:hAnsi="Garamond"/>
          <w:lang w:val="en-US" w:eastAsia="ja-JP"/>
        </w:rPr>
        <w:t>or</w:t>
      </w:r>
      <w:r w:rsidR="00E4377A">
        <w:rPr>
          <w:rFonts w:ascii="Garamond" w:eastAsia="Calibri" w:hAnsi="Garamond"/>
          <w:lang w:val="en-US" w:eastAsia="ja-JP"/>
        </w:rPr>
        <w:t xml:space="preserve"> income</w:t>
      </w:r>
      <w:r w:rsidRPr="002D5E14">
        <w:rPr>
          <w:rFonts w:ascii="Garamond" w:eastAsia="Calibri" w:hAnsi="Garamond"/>
          <w:lang w:val="en-US" w:eastAsia="ja-JP"/>
        </w:rPr>
        <w:t xml:space="preserve"> survey (</w:t>
      </w:r>
      <w:r w:rsidR="009C0346">
        <w:rPr>
          <w:rFonts w:ascii="Garamond" w:eastAsia="Calibri" w:hAnsi="Garamond"/>
          <w:lang w:val="en-US" w:eastAsia="ja-JP"/>
        </w:rPr>
        <w:t xml:space="preserve">“household survey”, or </w:t>
      </w:r>
      <w:r w:rsidRPr="002D5E14">
        <w:rPr>
          <w:rFonts w:ascii="Garamond" w:eastAsia="Calibri" w:hAnsi="Garamond"/>
          <w:lang w:val="en-US" w:eastAsia="ja-JP"/>
        </w:rPr>
        <w:t>HS</w:t>
      </w:r>
      <w:r w:rsidR="009C0346">
        <w:rPr>
          <w:rFonts w:ascii="Garamond" w:eastAsia="Calibri" w:hAnsi="Garamond"/>
          <w:lang w:val="en-US" w:eastAsia="ja-JP"/>
        </w:rPr>
        <w:t>, for short</w:t>
      </w:r>
      <w:r w:rsidRPr="002D5E14">
        <w:rPr>
          <w:rFonts w:ascii="Garamond" w:eastAsia="Calibri" w:hAnsi="Garamond"/>
          <w:lang w:val="en-US" w:eastAsia="ja-JP"/>
        </w:rPr>
        <w:t>) dataset</w:t>
      </w:r>
      <w:r w:rsidR="00E4377A">
        <w:rPr>
          <w:rFonts w:ascii="Garamond" w:eastAsia="Calibri" w:hAnsi="Garamond"/>
          <w:lang w:val="en-US" w:eastAsia="ja-JP"/>
        </w:rPr>
        <w:t xml:space="preserve">.  When the HS data is enumerated in, or recorded for, the same year as the fiscal-administrative data; and when it is representative at the national level (at least), fewer pre-analysis adjustments will need to be made. </w:t>
      </w:r>
    </w:p>
    <w:p w14:paraId="54FBD0BD" w14:textId="77777777" w:rsidR="00E4377A" w:rsidRDefault="00E4377A" w:rsidP="003A2FEF">
      <w:pPr>
        <w:jc w:val="both"/>
        <w:rPr>
          <w:rFonts w:ascii="Garamond" w:eastAsia="Calibri" w:hAnsi="Garamond"/>
          <w:lang w:val="en-US" w:eastAsia="ja-JP"/>
        </w:rPr>
      </w:pPr>
    </w:p>
    <w:p w14:paraId="5B83D287" w14:textId="77777777" w:rsidR="009C0346" w:rsidRDefault="00E4377A" w:rsidP="003A2FEF">
      <w:pPr>
        <w:jc w:val="both"/>
        <w:rPr>
          <w:rFonts w:ascii="Garamond" w:eastAsia="Calibri" w:hAnsi="Garamond"/>
          <w:lang w:val="en-US" w:eastAsia="ja-JP"/>
        </w:rPr>
      </w:pPr>
      <w:r>
        <w:rPr>
          <w:rFonts w:ascii="Garamond" w:eastAsia="Calibri" w:hAnsi="Garamond"/>
          <w:lang w:val="en-US" w:eastAsia="ja-JP"/>
        </w:rPr>
        <w:t>T</w:t>
      </w:r>
      <w:r w:rsidRPr="002D5E14">
        <w:rPr>
          <w:rFonts w:ascii="Garamond" w:eastAsia="Calibri" w:hAnsi="Garamond"/>
          <w:lang w:val="en-US" w:eastAsia="ja-JP"/>
        </w:rPr>
        <w:t xml:space="preserve">he </w:t>
      </w:r>
      <w:r w:rsidR="009C0346">
        <w:rPr>
          <w:rFonts w:ascii="Garamond" w:eastAsia="Calibri" w:hAnsi="Garamond"/>
          <w:lang w:val="en-US" w:eastAsia="ja-JP"/>
        </w:rPr>
        <w:t>fiscal-</w:t>
      </w:r>
      <w:r w:rsidR="00007D01" w:rsidRPr="002D5E14">
        <w:rPr>
          <w:rFonts w:ascii="Garamond" w:eastAsia="Calibri" w:hAnsi="Garamond"/>
          <w:lang w:val="en-US" w:eastAsia="ja-JP"/>
        </w:rPr>
        <w:t xml:space="preserve">administrative data </w:t>
      </w:r>
      <w:r w:rsidR="00007D01" w:rsidRPr="005720C0">
        <w:rPr>
          <w:rFonts w:ascii="Garamond" w:eastAsia="Calibri" w:hAnsi="Garamond"/>
          <w:lang w:val="en-US" w:eastAsia="ja-JP"/>
        </w:rPr>
        <w:t>provide</w:t>
      </w:r>
      <w:r w:rsidR="009C0346">
        <w:rPr>
          <w:rFonts w:ascii="Garamond" w:eastAsia="Calibri" w:hAnsi="Garamond"/>
          <w:lang w:val="en-US" w:eastAsia="ja-JP"/>
        </w:rPr>
        <w:t>s</w:t>
      </w:r>
      <w:r w:rsidR="00007D01" w:rsidRPr="005720C0">
        <w:rPr>
          <w:rFonts w:ascii="Garamond" w:eastAsia="Calibri" w:hAnsi="Garamond"/>
          <w:lang w:val="en-US" w:eastAsia="ja-JP"/>
        </w:rPr>
        <w:t xml:space="preserve"> information </w:t>
      </w:r>
      <w:r w:rsidR="009C0346">
        <w:rPr>
          <w:rFonts w:ascii="Garamond" w:eastAsia="Calibri" w:hAnsi="Garamond"/>
          <w:lang w:val="en-US" w:eastAsia="ja-JP"/>
        </w:rPr>
        <w:t xml:space="preserve">necessary </w:t>
      </w:r>
      <w:r w:rsidR="00F1173D" w:rsidRPr="005720C0">
        <w:rPr>
          <w:rFonts w:ascii="Garamond" w:eastAsia="Calibri" w:hAnsi="Garamond"/>
          <w:lang w:val="en-US" w:eastAsia="ja-JP"/>
        </w:rPr>
        <w:t xml:space="preserve">for </w:t>
      </w:r>
      <w:r w:rsidR="00007D01" w:rsidRPr="005720C0">
        <w:rPr>
          <w:rFonts w:ascii="Garamond" w:eastAsia="Calibri" w:hAnsi="Garamond"/>
          <w:lang w:val="en-US" w:eastAsia="ja-JP"/>
        </w:rPr>
        <w:t>allocat</w:t>
      </w:r>
      <w:r w:rsidR="00F1173D" w:rsidRPr="005720C0">
        <w:rPr>
          <w:rFonts w:ascii="Garamond" w:eastAsia="Calibri" w:hAnsi="Garamond"/>
          <w:lang w:val="en-US" w:eastAsia="ja-JP"/>
        </w:rPr>
        <w:t>ing</w:t>
      </w:r>
      <w:r w:rsidR="00007D01" w:rsidRPr="002D5E14">
        <w:rPr>
          <w:rFonts w:ascii="Garamond" w:eastAsia="Calibri" w:hAnsi="Garamond"/>
          <w:lang w:val="en-US" w:eastAsia="ja-JP"/>
        </w:rPr>
        <w:t xml:space="preserve"> the different fiscal interventions</w:t>
      </w:r>
      <w:r w:rsidR="009C0346">
        <w:rPr>
          <w:rFonts w:ascii="Garamond" w:eastAsia="Calibri" w:hAnsi="Garamond"/>
          <w:lang w:val="en-US" w:eastAsia="ja-JP"/>
        </w:rPr>
        <w:t xml:space="preserve"> in appropriate or commensurate magnitudes</w:t>
      </w:r>
      <w:r w:rsidR="00007D01" w:rsidRPr="002D5E14">
        <w:rPr>
          <w:rFonts w:ascii="Garamond" w:eastAsia="Calibri" w:hAnsi="Garamond"/>
          <w:lang w:val="en-US" w:eastAsia="ja-JP"/>
        </w:rPr>
        <w:t xml:space="preserve"> </w:t>
      </w:r>
      <w:r w:rsidR="009C0346">
        <w:rPr>
          <w:rFonts w:ascii="Garamond" w:eastAsia="Calibri" w:hAnsi="Garamond"/>
          <w:lang w:val="en-US" w:eastAsia="ja-JP"/>
        </w:rPr>
        <w:t>to individuals and households represented in the</w:t>
      </w:r>
      <w:r w:rsidR="00007D01" w:rsidRPr="002D5E14">
        <w:rPr>
          <w:rFonts w:ascii="Garamond" w:eastAsia="Calibri" w:hAnsi="Garamond"/>
          <w:lang w:val="en-US" w:eastAsia="ja-JP"/>
        </w:rPr>
        <w:t xml:space="preserve"> household surve</w:t>
      </w:r>
      <w:r w:rsidR="0063364E">
        <w:rPr>
          <w:rFonts w:ascii="Garamond" w:eastAsia="Calibri" w:hAnsi="Garamond"/>
          <w:lang w:val="en-US" w:eastAsia="ja-JP"/>
        </w:rPr>
        <w:t>y</w:t>
      </w:r>
      <w:r w:rsidR="00007D01" w:rsidRPr="002D5E14">
        <w:rPr>
          <w:rFonts w:ascii="Garamond" w:eastAsia="Calibri" w:hAnsi="Garamond"/>
          <w:lang w:val="en-US" w:eastAsia="ja-JP"/>
        </w:rPr>
        <w:t xml:space="preserve"> dataset</w:t>
      </w:r>
      <w:r w:rsidR="009C0346">
        <w:rPr>
          <w:rFonts w:ascii="Garamond" w:eastAsia="Calibri" w:hAnsi="Garamond"/>
          <w:lang w:val="en-US" w:eastAsia="ja-JP"/>
        </w:rPr>
        <w:t>.  The fiscal-administrative data</w:t>
      </w:r>
      <w:r w:rsidR="00463147">
        <w:rPr>
          <w:rFonts w:ascii="Garamond" w:eastAsia="Calibri" w:hAnsi="Garamond"/>
          <w:lang w:val="en-US" w:eastAsia="ja-JP"/>
        </w:rPr>
        <w:t>, when reliable,</w:t>
      </w:r>
      <w:r w:rsidR="009C0346">
        <w:rPr>
          <w:rFonts w:ascii="Garamond" w:eastAsia="Calibri" w:hAnsi="Garamond"/>
          <w:lang w:val="en-US" w:eastAsia="ja-JP"/>
        </w:rPr>
        <w:t xml:space="preserve"> can also</w:t>
      </w:r>
      <w:r w:rsidR="00007D01" w:rsidRPr="002D5E14">
        <w:rPr>
          <w:rFonts w:ascii="Garamond" w:eastAsia="Calibri" w:hAnsi="Garamond"/>
          <w:lang w:val="en-US" w:eastAsia="ja-JP"/>
        </w:rPr>
        <w:t xml:space="preserve"> </w:t>
      </w:r>
      <w:r w:rsidR="009C0346">
        <w:rPr>
          <w:rFonts w:ascii="Garamond" w:eastAsia="Calibri" w:hAnsi="Garamond"/>
          <w:lang w:val="en-US" w:eastAsia="ja-JP"/>
        </w:rPr>
        <w:t>provide a</w:t>
      </w:r>
      <w:r w:rsidR="00007D01" w:rsidRPr="002D5E14">
        <w:rPr>
          <w:rFonts w:ascii="Garamond" w:eastAsia="Calibri" w:hAnsi="Garamond"/>
          <w:lang w:val="en-US" w:eastAsia="ja-JP"/>
        </w:rPr>
        <w:t xml:space="preserve"> check </w:t>
      </w:r>
      <w:r w:rsidR="009C0346">
        <w:rPr>
          <w:rFonts w:ascii="Garamond" w:eastAsia="Calibri" w:hAnsi="Garamond"/>
          <w:lang w:val="en-US" w:eastAsia="ja-JP"/>
        </w:rPr>
        <w:t xml:space="preserve">on </w:t>
      </w:r>
      <w:r w:rsidR="00007D01" w:rsidRPr="002D5E14">
        <w:rPr>
          <w:rFonts w:ascii="Garamond" w:eastAsia="Calibri" w:hAnsi="Garamond"/>
          <w:lang w:val="en-US" w:eastAsia="ja-JP"/>
        </w:rPr>
        <w:t xml:space="preserve">whether </w:t>
      </w:r>
      <w:r w:rsidR="00800339">
        <w:rPr>
          <w:rFonts w:ascii="Garamond" w:eastAsia="Calibri" w:hAnsi="Garamond"/>
          <w:lang w:val="en-US" w:eastAsia="ja-JP"/>
        </w:rPr>
        <w:t>household survey</w:t>
      </w:r>
      <w:r w:rsidR="009C0346">
        <w:rPr>
          <w:rFonts w:ascii="Garamond" w:eastAsia="Calibri" w:hAnsi="Garamond"/>
          <w:lang w:val="en-US" w:eastAsia="ja-JP"/>
        </w:rPr>
        <w:t xml:space="preserve"> dataset records – on program eligibility, for example - are consistent with </w:t>
      </w:r>
      <w:r w:rsidR="00007D01" w:rsidRPr="002D5E14">
        <w:rPr>
          <w:rFonts w:ascii="Garamond" w:eastAsia="Calibri" w:hAnsi="Garamond"/>
          <w:lang w:val="en-US" w:eastAsia="ja-JP"/>
        </w:rPr>
        <w:t xml:space="preserve">administrative records. </w:t>
      </w:r>
    </w:p>
    <w:p w14:paraId="6B306626" w14:textId="77777777" w:rsidR="009C0346" w:rsidRDefault="009C0346" w:rsidP="003A2FEF">
      <w:pPr>
        <w:jc w:val="both"/>
        <w:rPr>
          <w:rFonts w:ascii="Garamond" w:eastAsia="Calibri" w:hAnsi="Garamond"/>
          <w:lang w:val="en-US" w:eastAsia="ja-JP"/>
        </w:rPr>
      </w:pPr>
    </w:p>
    <w:p w14:paraId="3ACBA93B" w14:textId="77777777" w:rsidR="009C0346" w:rsidRDefault="009C0346" w:rsidP="003A2FEF">
      <w:pPr>
        <w:jc w:val="both"/>
        <w:rPr>
          <w:rFonts w:ascii="Garamond" w:eastAsia="Calibri" w:hAnsi="Garamond"/>
          <w:lang w:val="en-US" w:eastAsia="ja-JP"/>
        </w:rPr>
      </w:pPr>
      <w:r>
        <w:rPr>
          <w:rFonts w:ascii="Garamond" w:eastAsia="Calibri" w:hAnsi="Garamond"/>
          <w:lang w:val="en-US" w:eastAsia="ja-JP"/>
        </w:rPr>
        <w:t>Macro-economic data is used as a third source of information to calibrate magnitudes for fiscal elements that are allocated across the indi</w:t>
      </w:r>
      <w:r w:rsidR="00800339">
        <w:rPr>
          <w:rFonts w:ascii="Garamond" w:eastAsia="Calibri" w:hAnsi="Garamond"/>
          <w:lang w:val="en-US" w:eastAsia="ja-JP"/>
        </w:rPr>
        <w:t>viduals and households in the household survey</w:t>
      </w:r>
      <w:r>
        <w:rPr>
          <w:rFonts w:ascii="Garamond" w:eastAsia="Calibri" w:hAnsi="Garamond"/>
          <w:lang w:val="en-US" w:eastAsia="ja-JP"/>
        </w:rPr>
        <w:t>.  For example, when fiscal-administrative data together with macroeconomic data reveal that total VAT revenues were equivalent to 7 percent of total final household consumption expenditure, this ratio will be used to calibrate the amoun</w:t>
      </w:r>
      <w:r w:rsidR="00800339">
        <w:rPr>
          <w:rFonts w:ascii="Garamond" w:eastAsia="Calibri" w:hAnsi="Garamond"/>
          <w:lang w:val="en-US" w:eastAsia="ja-JP"/>
        </w:rPr>
        <w:t>t of VAT allocated within the household survey</w:t>
      </w:r>
      <w:r>
        <w:rPr>
          <w:rFonts w:ascii="Garamond" w:eastAsia="Calibri" w:hAnsi="Garamond"/>
          <w:lang w:val="en-US" w:eastAsia="ja-JP"/>
        </w:rPr>
        <w:t>.</w:t>
      </w:r>
    </w:p>
    <w:p w14:paraId="322805CA" w14:textId="77777777" w:rsidR="009C0346" w:rsidRDefault="009C0346" w:rsidP="003A2FEF">
      <w:pPr>
        <w:jc w:val="both"/>
        <w:rPr>
          <w:rFonts w:ascii="Garamond" w:eastAsia="Calibri" w:hAnsi="Garamond"/>
          <w:lang w:val="en-US" w:eastAsia="ja-JP"/>
        </w:rPr>
      </w:pPr>
      <w:r>
        <w:rPr>
          <w:rFonts w:ascii="Garamond" w:eastAsia="Calibri" w:hAnsi="Garamond"/>
          <w:lang w:val="en-US" w:eastAsia="ja-JP"/>
        </w:rPr>
        <w:t xml:space="preserve"> </w:t>
      </w:r>
    </w:p>
    <w:p w14:paraId="4472E98E" w14:textId="77777777" w:rsidR="001E0A2D" w:rsidRPr="002D5E14" w:rsidRDefault="00607FD2" w:rsidP="003A2FEF">
      <w:pPr>
        <w:jc w:val="both"/>
        <w:rPr>
          <w:rFonts w:ascii="Garamond" w:eastAsia="Times New Roman" w:hAnsi="Garamond"/>
          <w:b/>
          <w:iCs/>
          <w:color w:val="000000"/>
        </w:rPr>
      </w:pPr>
      <w:r w:rsidRPr="002D5E14">
        <w:rPr>
          <w:rFonts w:ascii="Garamond" w:eastAsia="Calibri" w:hAnsi="Garamond"/>
          <w:lang w:val="en-US" w:eastAsia="ja-JP"/>
        </w:rPr>
        <w:t>Th</w:t>
      </w:r>
      <w:r>
        <w:rPr>
          <w:rFonts w:ascii="Garamond" w:eastAsia="Calibri" w:hAnsi="Garamond"/>
          <w:lang w:val="en-US" w:eastAsia="ja-JP"/>
        </w:rPr>
        <w:t>e</w:t>
      </w:r>
      <w:r w:rsidR="00800339">
        <w:rPr>
          <w:rFonts w:ascii="Garamond" w:eastAsia="Calibri" w:hAnsi="Garamond"/>
          <w:lang w:val="en-US" w:eastAsia="ja-JP"/>
        </w:rPr>
        <w:t xml:space="preserve"> household survey</w:t>
      </w:r>
      <w:r w:rsidRPr="002D5E14">
        <w:rPr>
          <w:rFonts w:ascii="Garamond" w:eastAsia="Calibri" w:hAnsi="Garamond"/>
          <w:lang w:val="en-US" w:eastAsia="ja-JP"/>
        </w:rPr>
        <w:t xml:space="preserve"> </w:t>
      </w:r>
      <w:r>
        <w:rPr>
          <w:rFonts w:ascii="Garamond" w:eastAsia="Calibri" w:hAnsi="Garamond"/>
          <w:lang w:val="en-US" w:eastAsia="ja-JP"/>
        </w:rPr>
        <w:t>dataset</w:t>
      </w:r>
      <w:r w:rsidR="009C0346">
        <w:rPr>
          <w:rFonts w:ascii="Garamond" w:eastAsia="Calibri" w:hAnsi="Garamond"/>
          <w:lang w:val="en-US" w:eastAsia="ja-JP"/>
        </w:rPr>
        <w:t xml:space="preserve"> together with the fiscal-administrative data</w:t>
      </w:r>
      <w:r>
        <w:rPr>
          <w:rFonts w:ascii="Garamond" w:eastAsia="Calibri" w:hAnsi="Garamond"/>
          <w:lang w:val="en-US" w:eastAsia="ja-JP"/>
        </w:rPr>
        <w:t xml:space="preserve"> </w:t>
      </w:r>
      <w:r w:rsidRPr="002D5E14">
        <w:rPr>
          <w:rFonts w:ascii="Garamond" w:eastAsia="Calibri" w:hAnsi="Garamond"/>
          <w:lang w:val="en-US" w:eastAsia="ja-JP"/>
        </w:rPr>
        <w:t xml:space="preserve">will </w:t>
      </w:r>
      <w:r w:rsidR="009C0346">
        <w:rPr>
          <w:rFonts w:ascii="Garamond" w:eastAsia="Calibri" w:hAnsi="Garamond"/>
          <w:lang w:val="en-US" w:eastAsia="ja-JP"/>
        </w:rPr>
        <w:t xml:space="preserve">be </w:t>
      </w:r>
      <w:r w:rsidRPr="002D5E14">
        <w:rPr>
          <w:rFonts w:ascii="Garamond" w:eastAsia="Calibri" w:hAnsi="Garamond"/>
          <w:lang w:val="en-US" w:eastAsia="ja-JP"/>
        </w:rPr>
        <w:t>the foundation for allocating the fiscal interventions and for constructing the eight CEQ Core Income Concepts</w:t>
      </w:r>
      <w:r>
        <w:rPr>
          <w:rFonts w:ascii="Garamond" w:eastAsia="Calibri" w:hAnsi="Garamond"/>
          <w:lang w:val="en-US" w:eastAsia="ja-JP"/>
        </w:rPr>
        <w:t xml:space="preserve"> that are the key intermediate inputs into a CEQ Assessment</w:t>
      </w:r>
      <w:r w:rsidR="009C0346">
        <w:rPr>
          <w:rFonts w:ascii="Garamond" w:eastAsia="Calibri" w:hAnsi="Garamond"/>
          <w:lang w:val="en-US" w:eastAsia="ja-JP"/>
        </w:rPr>
        <w:t>; they are discussed in greater detail below.</w:t>
      </w:r>
    </w:p>
    <w:p w14:paraId="0776B7E5" w14:textId="77777777" w:rsidR="001E0A2D" w:rsidRPr="002D5E14" w:rsidRDefault="001E0A2D" w:rsidP="003A2FEF">
      <w:pPr>
        <w:jc w:val="both"/>
        <w:rPr>
          <w:rFonts w:ascii="Garamond" w:eastAsia="Times New Roman" w:hAnsi="Garamond"/>
          <w:b/>
          <w:iCs/>
          <w:color w:val="000000"/>
        </w:rPr>
      </w:pPr>
    </w:p>
    <w:p w14:paraId="70796E5B" w14:textId="77777777" w:rsidR="00BC3A01" w:rsidRPr="002D5E14" w:rsidRDefault="00231BB9" w:rsidP="00F1173D">
      <w:pPr>
        <w:jc w:val="both"/>
        <w:outlineLvl w:val="0"/>
        <w:rPr>
          <w:rFonts w:ascii="Garamond" w:eastAsia="Times New Roman" w:hAnsi="Garamond"/>
          <w:b/>
          <w:iCs/>
          <w:color w:val="000000"/>
        </w:rPr>
      </w:pPr>
      <w:r w:rsidRPr="002D5E14">
        <w:rPr>
          <w:rFonts w:ascii="Garamond" w:eastAsia="Times New Roman" w:hAnsi="Garamond"/>
          <w:b/>
          <w:iCs/>
          <w:color w:val="000000"/>
        </w:rPr>
        <w:t xml:space="preserve">Microdata: </w:t>
      </w:r>
    </w:p>
    <w:p w14:paraId="7D8B92AA" w14:textId="77777777" w:rsidR="00785D75" w:rsidRPr="002D5E14" w:rsidRDefault="006F2338" w:rsidP="00445DAD">
      <w:pPr>
        <w:jc w:val="both"/>
        <w:rPr>
          <w:rFonts w:ascii="Garamond" w:eastAsia="Calibri" w:hAnsi="Garamond"/>
          <w:lang w:val="en-US" w:eastAsia="ja-JP"/>
        </w:rPr>
      </w:pPr>
      <w:r w:rsidRPr="002D5E14">
        <w:rPr>
          <w:rFonts w:ascii="Garamond" w:eastAsia="Calibri" w:hAnsi="Garamond"/>
          <w:lang w:val="en-US" w:eastAsia="ja-JP"/>
        </w:rPr>
        <w:t>Th</w:t>
      </w:r>
      <w:r>
        <w:rPr>
          <w:rFonts w:ascii="Garamond" w:eastAsia="Calibri" w:hAnsi="Garamond"/>
          <w:lang w:val="en-US" w:eastAsia="ja-JP"/>
        </w:rPr>
        <w:t>e (preferably) nationally-representative</w:t>
      </w:r>
      <w:r w:rsidRPr="002D5E14">
        <w:rPr>
          <w:rFonts w:ascii="Garamond" w:eastAsia="Calibri" w:hAnsi="Garamond"/>
          <w:lang w:val="en-US" w:eastAsia="ja-JP"/>
        </w:rPr>
        <w:t xml:space="preserve"> </w:t>
      </w:r>
      <w:r w:rsidR="00800339">
        <w:rPr>
          <w:rFonts w:ascii="Garamond" w:eastAsia="Calibri" w:hAnsi="Garamond"/>
          <w:lang w:val="en-US" w:eastAsia="ja-JP"/>
        </w:rPr>
        <w:t>household survey</w:t>
      </w:r>
      <w:r>
        <w:rPr>
          <w:rFonts w:ascii="Garamond" w:eastAsia="Calibri" w:hAnsi="Garamond"/>
          <w:lang w:val="en-US" w:eastAsia="ja-JP"/>
        </w:rPr>
        <w:t xml:space="preserve"> dataset</w:t>
      </w:r>
      <w:r w:rsidR="007114FF" w:rsidRPr="002D5E14">
        <w:rPr>
          <w:rFonts w:ascii="Garamond" w:eastAsia="Calibri" w:hAnsi="Garamond"/>
          <w:lang w:val="en-US" w:eastAsia="ja-JP"/>
        </w:rPr>
        <w:t xml:space="preserve"> can be an </w:t>
      </w:r>
      <w:r w:rsidR="005C7667" w:rsidRPr="002D5E14">
        <w:rPr>
          <w:rFonts w:ascii="Garamond" w:eastAsia="Calibri" w:hAnsi="Garamond"/>
          <w:lang w:val="en-US" w:eastAsia="ja-JP"/>
        </w:rPr>
        <w:t>expenditure and income survey (HIES), a household income (employment) survey, or</w:t>
      </w:r>
      <w:r w:rsidR="007114FF" w:rsidRPr="002D5E14">
        <w:rPr>
          <w:rFonts w:ascii="Garamond" w:eastAsia="Calibri" w:hAnsi="Garamond"/>
          <w:lang w:val="en-US" w:eastAsia="ja-JP"/>
        </w:rPr>
        <w:t xml:space="preserve"> a household budget survey (HBS)</w:t>
      </w:r>
      <w:r w:rsidR="00445DAD" w:rsidRPr="002D5E14">
        <w:rPr>
          <w:rFonts w:ascii="Garamond" w:eastAsia="Calibri" w:hAnsi="Garamond"/>
          <w:lang w:val="en-US" w:eastAsia="ja-JP"/>
        </w:rPr>
        <w:t xml:space="preserve">. </w:t>
      </w:r>
      <w:r w:rsidR="004659DC">
        <w:rPr>
          <w:rFonts w:ascii="Garamond" w:eastAsia="Calibri" w:hAnsi="Garamond"/>
          <w:lang w:val="en-US" w:eastAsia="ja-JP"/>
        </w:rPr>
        <w:t>Below the sections of the H</w:t>
      </w:r>
      <w:r w:rsidR="00A4049E" w:rsidRPr="002D5E14">
        <w:rPr>
          <w:rFonts w:ascii="Garamond" w:eastAsia="Calibri" w:hAnsi="Garamond"/>
          <w:lang w:val="en-US" w:eastAsia="ja-JP"/>
        </w:rPr>
        <w:t>S</w:t>
      </w:r>
      <w:r w:rsidR="004659DC">
        <w:rPr>
          <w:rFonts w:ascii="Garamond" w:eastAsia="Calibri" w:hAnsi="Garamond"/>
          <w:lang w:val="en-US" w:eastAsia="ja-JP"/>
        </w:rPr>
        <w:t xml:space="preserve"> are discussed</w:t>
      </w:r>
      <w:r w:rsidR="00785D75" w:rsidRPr="002D5E14">
        <w:rPr>
          <w:rFonts w:ascii="Garamond" w:eastAsia="Calibri" w:hAnsi="Garamond"/>
          <w:lang w:val="en-US" w:eastAsia="ja-JP"/>
        </w:rPr>
        <w:t>:</w:t>
      </w:r>
    </w:p>
    <w:p w14:paraId="6E867C77" w14:textId="77777777" w:rsidR="00785D75" w:rsidRPr="002D5E14" w:rsidRDefault="00983ECA" w:rsidP="00983ECA">
      <w:pPr>
        <w:pStyle w:val="Prrafodelista"/>
        <w:numPr>
          <w:ilvl w:val="0"/>
          <w:numId w:val="8"/>
        </w:numPr>
        <w:jc w:val="both"/>
        <w:rPr>
          <w:rFonts w:eastAsia="Calibri"/>
          <w:lang w:val="en-US" w:eastAsia="ja-JP"/>
        </w:rPr>
      </w:pPr>
      <w:r w:rsidRPr="002D5E14">
        <w:rPr>
          <w:rFonts w:ascii="Garamond" w:eastAsia="Calibri" w:hAnsi="Garamond"/>
          <w:lang w:val="en-US" w:eastAsia="ja-JP"/>
        </w:rPr>
        <w:t>T</w:t>
      </w:r>
      <w:r w:rsidR="005C7667" w:rsidRPr="002D5E14">
        <w:rPr>
          <w:rFonts w:ascii="Garamond" w:eastAsia="Calibri" w:hAnsi="Garamond"/>
          <w:lang w:val="en-US" w:eastAsia="ja-JP"/>
        </w:rPr>
        <w:t>he household</w:t>
      </w:r>
      <w:r w:rsidR="005C7667" w:rsidRPr="002D5E14">
        <w:rPr>
          <w:rFonts w:eastAsia="Calibri"/>
          <w:lang w:val="en-US" w:eastAsia="ja-JP"/>
        </w:rPr>
        <w:t xml:space="preserve"> </w:t>
      </w:r>
      <w:r w:rsidR="005C7667" w:rsidRPr="002D5E14">
        <w:rPr>
          <w:rFonts w:ascii="Garamond" w:eastAsia="Calibri" w:hAnsi="Garamond"/>
          <w:lang w:val="en-US" w:eastAsia="ja-JP"/>
        </w:rPr>
        <w:t xml:space="preserve">roster and the </w:t>
      </w:r>
      <w:r w:rsidR="009E1A66" w:rsidRPr="002D5E14">
        <w:rPr>
          <w:rFonts w:ascii="Garamond" w:eastAsia="Calibri" w:hAnsi="Garamond"/>
          <w:lang w:val="en-US" w:eastAsia="ja-JP"/>
        </w:rPr>
        <w:t xml:space="preserve">income and/or </w:t>
      </w:r>
      <w:r w:rsidR="005C7667" w:rsidRPr="002D5E14">
        <w:rPr>
          <w:rFonts w:ascii="Garamond" w:eastAsia="Calibri" w:hAnsi="Garamond"/>
          <w:lang w:val="en-US" w:eastAsia="ja-JP"/>
        </w:rPr>
        <w:t xml:space="preserve">expenditures module - hopefully </w:t>
      </w:r>
      <w:r w:rsidR="00CF16B8">
        <w:rPr>
          <w:rFonts w:ascii="Garamond" w:eastAsia="Calibri" w:hAnsi="Garamond"/>
          <w:lang w:val="en-US" w:eastAsia="ja-JP"/>
        </w:rPr>
        <w:t xml:space="preserve">the official cleaned data, failing this, in the </w:t>
      </w:r>
      <w:r w:rsidR="005C7667" w:rsidRPr="002D5E14">
        <w:rPr>
          <w:rFonts w:ascii="Garamond" w:eastAsia="Calibri" w:hAnsi="Garamond"/>
          <w:lang w:val="en-US" w:eastAsia="ja-JP"/>
        </w:rPr>
        <w:t xml:space="preserve">raw or semi-cleaned, item-by-item form are </w:t>
      </w:r>
      <w:r w:rsidR="0063364E">
        <w:rPr>
          <w:rFonts w:ascii="Garamond" w:eastAsia="Calibri" w:hAnsi="Garamond"/>
          <w:lang w:val="en-US" w:eastAsia="ja-JP"/>
        </w:rPr>
        <w:t>required</w:t>
      </w:r>
      <w:r w:rsidR="005C7667" w:rsidRPr="002D5E14">
        <w:rPr>
          <w:rFonts w:ascii="Garamond" w:eastAsia="Calibri" w:hAnsi="Garamond"/>
          <w:lang w:val="en-US" w:eastAsia="ja-JP"/>
        </w:rPr>
        <w:t>.</w:t>
      </w:r>
      <w:r w:rsidR="006C4FEA" w:rsidRPr="002D5E14">
        <w:rPr>
          <w:rFonts w:ascii="Garamond" w:eastAsia="Calibri" w:hAnsi="Garamond"/>
          <w:lang w:val="en-US" w:eastAsia="ja-JP"/>
        </w:rPr>
        <w:t xml:space="preserve"> </w:t>
      </w:r>
    </w:p>
    <w:p w14:paraId="3861D30C" w14:textId="77777777" w:rsidR="00785D75" w:rsidRPr="002D5E14" w:rsidRDefault="005C7667" w:rsidP="00983ECA">
      <w:pPr>
        <w:pStyle w:val="Prrafodelista"/>
        <w:numPr>
          <w:ilvl w:val="0"/>
          <w:numId w:val="8"/>
        </w:numPr>
        <w:jc w:val="both"/>
        <w:rPr>
          <w:rFonts w:ascii="Garamond" w:eastAsia="Calibri" w:hAnsi="Garamond"/>
          <w:lang w:val="en-US" w:eastAsia="ja-JP"/>
        </w:rPr>
      </w:pPr>
      <w:r w:rsidRPr="002D5E14">
        <w:rPr>
          <w:rFonts w:ascii="Garamond" w:eastAsia="Calibri" w:hAnsi="Garamond"/>
          <w:lang w:val="en-US" w:eastAsia="ja-JP"/>
        </w:rPr>
        <w:lastRenderedPageBreak/>
        <w:t xml:space="preserve">The health and education modules are somewhere in between necessary and very desirable. </w:t>
      </w:r>
      <w:r w:rsidR="00983ECA" w:rsidRPr="002D5E14">
        <w:rPr>
          <w:rFonts w:ascii="Garamond" w:eastAsia="Calibri" w:hAnsi="Garamond"/>
          <w:lang w:val="en-US" w:eastAsia="ja-JP"/>
        </w:rPr>
        <w:t>When health and/or educ</w:t>
      </w:r>
      <w:r w:rsidR="00E914CE" w:rsidRPr="002D5E14">
        <w:rPr>
          <w:rFonts w:ascii="Garamond" w:eastAsia="Calibri" w:hAnsi="Garamond"/>
          <w:lang w:val="en-US" w:eastAsia="ja-JP"/>
        </w:rPr>
        <w:t>ation are not covered</w:t>
      </w:r>
      <w:r w:rsidR="00983ECA" w:rsidRPr="002D5E14">
        <w:rPr>
          <w:rFonts w:ascii="Garamond" w:eastAsia="Calibri" w:hAnsi="Garamond"/>
          <w:lang w:val="en-US" w:eastAsia="ja-JP"/>
        </w:rPr>
        <w:t>, reference to a secondary survey that does capture utilization of those services (the Demographic and Health Surveys</w:t>
      </w:r>
      <w:r w:rsidR="0063364E">
        <w:rPr>
          <w:rStyle w:val="Refdenotaalpie"/>
          <w:rFonts w:ascii="Garamond" w:eastAsia="Calibri" w:hAnsi="Garamond"/>
          <w:lang w:val="en-US" w:eastAsia="ja-JP"/>
        </w:rPr>
        <w:footnoteReference w:id="3"/>
      </w:r>
      <w:r w:rsidR="00983ECA" w:rsidRPr="002D5E14">
        <w:rPr>
          <w:rFonts w:ascii="Garamond" w:eastAsia="Calibri" w:hAnsi="Garamond"/>
          <w:lang w:val="en-US" w:eastAsia="ja-JP"/>
        </w:rPr>
        <w:t>, for example)</w:t>
      </w:r>
      <w:r w:rsidR="00684DB9" w:rsidRPr="002D5E14">
        <w:rPr>
          <w:rFonts w:ascii="Garamond" w:eastAsia="Calibri" w:hAnsi="Garamond"/>
          <w:lang w:val="en-US" w:eastAsia="ja-JP"/>
        </w:rPr>
        <w:t xml:space="preserve"> is </w:t>
      </w:r>
      <w:r w:rsidR="00BB5B0A">
        <w:rPr>
          <w:rFonts w:ascii="Garamond" w:eastAsia="Calibri" w:hAnsi="Garamond"/>
          <w:lang w:val="en-US" w:eastAsia="ja-JP"/>
        </w:rPr>
        <w:t>useful</w:t>
      </w:r>
      <w:r w:rsidR="00983ECA" w:rsidRPr="002D5E14">
        <w:rPr>
          <w:rFonts w:ascii="Garamond" w:eastAsia="Calibri" w:hAnsi="Garamond"/>
          <w:lang w:val="en-US" w:eastAsia="ja-JP"/>
        </w:rPr>
        <w:t>.</w:t>
      </w:r>
    </w:p>
    <w:p w14:paraId="1BEA49E7" w14:textId="77777777" w:rsidR="00785D75" w:rsidRPr="002D5E14" w:rsidRDefault="005C7667" w:rsidP="00983ECA">
      <w:pPr>
        <w:pStyle w:val="Prrafodelista"/>
        <w:numPr>
          <w:ilvl w:val="0"/>
          <w:numId w:val="8"/>
        </w:numPr>
        <w:jc w:val="both"/>
        <w:rPr>
          <w:rFonts w:ascii="Garamond" w:eastAsia="Calibri" w:hAnsi="Garamond"/>
          <w:lang w:val="en-US" w:eastAsia="ja-JP"/>
        </w:rPr>
      </w:pPr>
      <w:r w:rsidRPr="002D5E14">
        <w:rPr>
          <w:rFonts w:ascii="Garamond" w:eastAsia="Calibri" w:hAnsi="Garamond"/>
          <w:lang w:val="en-US" w:eastAsia="ja-JP"/>
        </w:rPr>
        <w:t>The remaining modules are often useful - taxpayer status</w:t>
      </w:r>
      <w:r w:rsidR="006C4FEA" w:rsidRPr="002D5E14">
        <w:rPr>
          <w:rFonts w:ascii="Garamond" w:eastAsia="Calibri" w:hAnsi="Garamond"/>
          <w:lang w:val="en-US" w:eastAsia="ja-JP"/>
        </w:rPr>
        <w:t xml:space="preserve"> can </w:t>
      </w:r>
      <w:r w:rsidR="0061700C" w:rsidRPr="002D5E14">
        <w:rPr>
          <w:rFonts w:ascii="Garamond" w:eastAsia="Calibri" w:hAnsi="Garamond"/>
          <w:lang w:val="en-US" w:eastAsia="ja-JP"/>
        </w:rPr>
        <w:t>be determined</w:t>
      </w:r>
      <w:r w:rsidRPr="002D5E14">
        <w:rPr>
          <w:rFonts w:ascii="Garamond" w:eastAsia="Calibri" w:hAnsi="Garamond"/>
          <w:lang w:val="en-US" w:eastAsia="ja-JP"/>
        </w:rPr>
        <w:t xml:space="preserve"> from questions in the labor module, for example</w:t>
      </w:r>
      <w:r w:rsidR="00785D75" w:rsidRPr="002D5E14">
        <w:rPr>
          <w:rFonts w:ascii="Garamond" w:eastAsia="Calibri" w:hAnsi="Garamond"/>
          <w:lang w:val="en-US" w:eastAsia="ja-JP"/>
        </w:rPr>
        <w:t xml:space="preserve"> - and if they are available </w:t>
      </w:r>
      <w:r w:rsidR="006C4FEA" w:rsidRPr="002D5E14">
        <w:rPr>
          <w:rFonts w:ascii="Garamond" w:eastAsia="Calibri" w:hAnsi="Garamond"/>
          <w:lang w:val="en-US" w:eastAsia="ja-JP"/>
        </w:rPr>
        <w:t>it</w:t>
      </w:r>
      <w:r w:rsidR="00785D75" w:rsidRPr="002D5E14">
        <w:rPr>
          <w:rFonts w:ascii="Garamond" w:eastAsia="Calibri" w:hAnsi="Garamond"/>
          <w:lang w:val="en-US" w:eastAsia="ja-JP"/>
        </w:rPr>
        <w:t xml:space="preserve"> woul</w:t>
      </w:r>
      <w:r w:rsidRPr="002D5E14">
        <w:rPr>
          <w:rFonts w:ascii="Garamond" w:eastAsia="Calibri" w:hAnsi="Garamond"/>
          <w:lang w:val="en-US" w:eastAsia="ja-JP"/>
        </w:rPr>
        <w:t xml:space="preserve">d </w:t>
      </w:r>
      <w:r w:rsidR="006C4FEA" w:rsidRPr="002D5E14">
        <w:rPr>
          <w:rFonts w:ascii="Garamond" w:eastAsia="Calibri" w:hAnsi="Garamond"/>
          <w:lang w:val="en-US" w:eastAsia="ja-JP"/>
        </w:rPr>
        <w:t xml:space="preserve">be </w:t>
      </w:r>
      <w:r w:rsidR="004659DC">
        <w:rPr>
          <w:rFonts w:ascii="Garamond" w:eastAsia="Calibri" w:hAnsi="Garamond"/>
          <w:lang w:val="en-US" w:eastAsia="ja-JP"/>
        </w:rPr>
        <w:t>good</w:t>
      </w:r>
      <w:r w:rsidR="004659DC" w:rsidRPr="002D5E14">
        <w:rPr>
          <w:rFonts w:ascii="Garamond" w:eastAsia="Calibri" w:hAnsi="Garamond"/>
          <w:lang w:val="en-US" w:eastAsia="ja-JP"/>
        </w:rPr>
        <w:t xml:space="preserve"> </w:t>
      </w:r>
      <w:r w:rsidRPr="002D5E14">
        <w:rPr>
          <w:rFonts w:ascii="Garamond" w:eastAsia="Calibri" w:hAnsi="Garamond"/>
          <w:lang w:val="en-US" w:eastAsia="ja-JP"/>
        </w:rPr>
        <w:t>to have them.</w:t>
      </w:r>
    </w:p>
    <w:p w14:paraId="5FBC9DBA" w14:textId="2395FEEC" w:rsidR="0061700C" w:rsidRDefault="005C7667" w:rsidP="000D3923">
      <w:pPr>
        <w:pStyle w:val="Prrafodelista"/>
        <w:numPr>
          <w:ilvl w:val="0"/>
          <w:numId w:val="8"/>
        </w:numPr>
        <w:jc w:val="both"/>
        <w:rPr>
          <w:rFonts w:ascii="Garamond" w:eastAsia="Calibri" w:hAnsi="Garamond"/>
          <w:lang w:val="en-US" w:eastAsia="ja-JP"/>
        </w:rPr>
      </w:pPr>
      <w:r w:rsidRPr="007B50B5">
        <w:rPr>
          <w:rFonts w:ascii="Garamond" w:eastAsia="Calibri" w:hAnsi="Garamond"/>
          <w:lang w:val="en-US" w:eastAsia="ja-JP"/>
        </w:rPr>
        <w:t>If there are any official or generally accepted practices</w:t>
      </w:r>
      <w:r w:rsidR="006F2338" w:rsidRPr="007B50B5">
        <w:rPr>
          <w:rFonts w:ascii="Garamond" w:eastAsia="Calibri" w:hAnsi="Garamond"/>
          <w:lang w:val="en-US" w:eastAsia="ja-JP"/>
        </w:rPr>
        <w:t xml:space="preserve">, </w:t>
      </w:r>
      <w:r w:rsidRPr="007B50B5">
        <w:rPr>
          <w:rFonts w:ascii="Garamond" w:eastAsia="Calibri" w:hAnsi="Garamond"/>
          <w:lang w:val="en-US" w:eastAsia="ja-JP"/>
        </w:rPr>
        <w:t>methods</w:t>
      </w:r>
      <w:r w:rsidR="006F2338" w:rsidRPr="007B50B5">
        <w:rPr>
          <w:rFonts w:ascii="Garamond" w:eastAsia="Calibri" w:hAnsi="Garamond"/>
          <w:lang w:val="en-US" w:eastAsia="ja-JP"/>
        </w:rPr>
        <w:t>, or algorithms</w:t>
      </w:r>
      <w:r w:rsidRPr="007B50B5">
        <w:rPr>
          <w:rFonts w:ascii="Garamond" w:eastAsia="Calibri" w:hAnsi="Garamond"/>
          <w:lang w:val="en-US" w:eastAsia="ja-JP"/>
        </w:rPr>
        <w:t xml:space="preserve"> for calculating </w:t>
      </w:r>
      <w:r w:rsidR="006F2338" w:rsidRPr="007B50B5">
        <w:rPr>
          <w:rFonts w:ascii="Garamond" w:eastAsia="Calibri" w:hAnsi="Garamond"/>
          <w:lang w:val="en-US" w:eastAsia="ja-JP"/>
        </w:rPr>
        <w:t xml:space="preserve">the value of </w:t>
      </w:r>
      <w:r w:rsidRPr="007B50B5">
        <w:rPr>
          <w:rFonts w:ascii="Garamond" w:eastAsia="Calibri" w:hAnsi="Garamond"/>
          <w:lang w:val="en-US" w:eastAsia="ja-JP"/>
        </w:rPr>
        <w:t xml:space="preserve">household expenditures, household size, per-adult equivalent scales, and the national poverty line, </w:t>
      </w:r>
      <w:r w:rsidR="006F2338" w:rsidRPr="007B50B5">
        <w:rPr>
          <w:rFonts w:ascii="Garamond" w:eastAsia="Calibri" w:hAnsi="Garamond"/>
          <w:lang w:val="en-US" w:eastAsia="ja-JP"/>
        </w:rPr>
        <w:t xml:space="preserve">it is highly desirable to have those from the beginning. </w:t>
      </w:r>
    </w:p>
    <w:p w14:paraId="4C615BB5" w14:textId="77777777" w:rsidR="007B50B5" w:rsidRPr="007B50B5" w:rsidRDefault="007B50B5" w:rsidP="007B50B5">
      <w:pPr>
        <w:pStyle w:val="Prrafodelista"/>
        <w:jc w:val="both"/>
        <w:rPr>
          <w:rFonts w:ascii="Garamond" w:eastAsia="Calibri" w:hAnsi="Garamond"/>
          <w:lang w:val="en-US" w:eastAsia="ja-JP"/>
        </w:rPr>
      </w:pPr>
    </w:p>
    <w:p w14:paraId="61FBCCAC" w14:textId="77777777" w:rsidR="00231BB9" w:rsidRPr="002D5E14" w:rsidRDefault="004027AF" w:rsidP="00F1173D">
      <w:pPr>
        <w:jc w:val="both"/>
        <w:outlineLvl w:val="0"/>
        <w:rPr>
          <w:rFonts w:ascii="Garamond" w:eastAsia="Calibri" w:hAnsi="Garamond"/>
          <w:lang w:val="en-US" w:eastAsia="ja-JP"/>
        </w:rPr>
      </w:pPr>
      <w:r w:rsidRPr="002D5E14">
        <w:rPr>
          <w:rFonts w:ascii="Garamond" w:eastAsia="Times New Roman" w:hAnsi="Garamond"/>
          <w:b/>
          <w:iCs/>
          <w:color w:val="000000"/>
        </w:rPr>
        <w:t>Administrative Data</w:t>
      </w:r>
      <w:r w:rsidR="003026BD" w:rsidRPr="002D5E14">
        <w:rPr>
          <w:rFonts w:ascii="Garamond" w:eastAsia="Times New Roman" w:hAnsi="Garamond"/>
          <w:b/>
          <w:iCs/>
          <w:color w:val="000000"/>
        </w:rPr>
        <w:t>:</w:t>
      </w:r>
      <w:r w:rsidR="00231BB9" w:rsidRPr="002D5E14">
        <w:rPr>
          <w:rFonts w:ascii="Garamond" w:eastAsia="Calibri" w:hAnsi="Garamond"/>
          <w:lang w:val="en-US" w:eastAsia="ja-JP"/>
        </w:rPr>
        <w:t xml:space="preserve"> </w:t>
      </w:r>
    </w:p>
    <w:p w14:paraId="13E7D61A" w14:textId="77777777" w:rsidR="004659DC" w:rsidRDefault="00BC3A01" w:rsidP="00231BB9">
      <w:pPr>
        <w:jc w:val="both"/>
        <w:rPr>
          <w:rFonts w:ascii="Garamond" w:eastAsia="Calibri" w:hAnsi="Garamond"/>
          <w:lang w:val="en-US" w:eastAsia="ja-JP"/>
        </w:rPr>
      </w:pPr>
      <w:r w:rsidRPr="002D5E14">
        <w:rPr>
          <w:rFonts w:ascii="Garamond" w:eastAsia="Calibri" w:hAnsi="Garamond"/>
          <w:lang w:val="en-US" w:eastAsia="ja-JP"/>
        </w:rPr>
        <w:t xml:space="preserve">A CEQ Assessment requires </w:t>
      </w:r>
      <w:r w:rsidR="00611E72" w:rsidRPr="002D5E14">
        <w:rPr>
          <w:rFonts w:ascii="Garamond" w:eastAsia="Calibri" w:hAnsi="Garamond"/>
          <w:lang w:val="en-US" w:eastAsia="ja-JP"/>
        </w:rPr>
        <w:t xml:space="preserve">administrative data for the year of the analysis. </w:t>
      </w:r>
      <w:r w:rsidR="004659DC">
        <w:rPr>
          <w:rFonts w:ascii="Garamond" w:eastAsia="Calibri" w:hAnsi="Garamond"/>
          <w:lang w:val="en-US" w:eastAsia="ja-JP"/>
        </w:rPr>
        <w:t xml:space="preserve">Specifically, it requires </w:t>
      </w:r>
      <w:r w:rsidR="00CD3699">
        <w:rPr>
          <w:rFonts w:ascii="Garamond" w:eastAsia="Calibri" w:hAnsi="Garamond"/>
          <w:lang w:val="en-US" w:eastAsia="ja-JP"/>
        </w:rPr>
        <w:t>three</w:t>
      </w:r>
      <w:r w:rsidR="004659DC">
        <w:rPr>
          <w:rFonts w:ascii="Garamond" w:eastAsia="Calibri" w:hAnsi="Garamond"/>
          <w:lang w:val="en-US" w:eastAsia="ja-JP"/>
        </w:rPr>
        <w:t xml:space="preserve"> main components: 1) an audited or </w:t>
      </w:r>
      <w:r w:rsidR="00840F73">
        <w:rPr>
          <w:rFonts w:ascii="Garamond" w:eastAsia="Calibri" w:hAnsi="Garamond"/>
          <w:lang w:val="en-US" w:eastAsia="ja-JP"/>
        </w:rPr>
        <w:t>executed</w:t>
      </w:r>
      <w:r w:rsidR="004659DC">
        <w:rPr>
          <w:rFonts w:ascii="Garamond" w:eastAsia="Calibri" w:hAnsi="Garamond"/>
          <w:lang w:val="en-US" w:eastAsia="ja-JP"/>
        </w:rPr>
        <w:t xml:space="preserve"> budget</w:t>
      </w:r>
      <w:r w:rsidR="004659DC" w:rsidRPr="002D5E14">
        <w:rPr>
          <w:rFonts w:ascii="Garamond" w:eastAsia="Calibri" w:hAnsi="Garamond"/>
          <w:lang w:val="en-US" w:eastAsia="ja-JP"/>
        </w:rPr>
        <w:t xml:space="preserve">, number of beneficiaries/ tax payers, and the amount received or liable to </w:t>
      </w:r>
      <w:r w:rsidR="002F1BD8">
        <w:rPr>
          <w:rFonts w:ascii="Garamond" w:eastAsia="Calibri" w:hAnsi="Garamond"/>
          <w:lang w:val="en-US" w:eastAsia="ja-JP"/>
        </w:rPr>
        <w:t xml:space="preserve">be </w:t>
      </w:r>
      <w:r w:rsidR="004659DC" w:rsidRPr="002D5E14">
        <w:rPr>
          <w:rFonts w:ascii="Garamond" w:eastAsia="Calibri" w:hAnsi="Garamond"/>
          <w:lang w:val="en-US" w:eastAsia="ja-JP"/>
        </w:rPr>
        <w:t>pa</w:t>
      </w:r>
      <w:r w:rsidR="002F1BD8">
        <w:rPr>
          <w:rFonts w:ascii="Garamond" w:eastAsia="Calibri" w:hAnsi="Garamond"/>
          <w:lang w:val="en-US" w:eastAsia="ja-JP"/>
        </w:rPr>
        <w:t>id</w:t>
      </w:r>
      <w:r w:rsidR="004659DC" w:rsidRPr="002D5E14">
        <w:rPr>
          <w:rFonts w:ascii="Garamond" w:eastAsia="Calibri" w:hAnsi="Garamond"/>
          <w:lang w:val="en-US" w:eastAsia="ja-JP"/>
        </w:rPr>
        <w:t xml:space="preserve"> for each fiscal intervention to be included in the analysis</w:t>
      </w:r>
      <w:r w:rsidR="004659DC">
        <w:rPr>
          <w:rFonts w:ascii="Garamond" w:eastAsia="Calibri" w:hAnsi="Garamond"/>
          <w:lang w:val="en-US" w:eastAsia="ja-JP"/>
        </w:rPr>
        <w:t>; 2) a d</w:t>
      </w:r>
      <w:r w:rsidR="004659DC" w:rsidRPr="00C979D6">
        <w:rPr>
          <w:rFonts w:ascii="Garamond" w:eastAsia="Calibri" w:hAnsi="Garamond"/>
          <w:lang w:val="en-US" w:eastAsia="ja-JP"/>
        </w:rPr>
        <w:t>etailed description of each fiscal intervention</w:t>
      </w:r>
      <w:r w:rsidR="00CD3699">
        <w:rPr>
          <w:rFonts w:ascii="Garamond" w:eastAsia="Calibri" w:hAnsi="Garamond"/>
          <w:lang w:val="en-US" w:eastAsia="ja-JP"/>
        </w:rPr>
        <w:t>; and 3) the a</w:t>
      </w:r>
      <w:r w:rsidR="00CD3699" w:rsidRPr="00C979D6">
        <w:rPr>
          <w:rFonts w:ascii="Garamond" w:eastAsia="Calibri" w:hAnsi="Garamond"/>
          <w:lang w:val="en-US" w:eastAsia="en-US"/>
        </w:rPr>
        <w:t xml:space="preserve">udited or </w:t>
      </w:r>
      <w:r w:rsidR="00093F6E">
        <w:rPr>
          <w:rFonts w:ascii="Garamond" w:eastAsia="Calibri" w:hAnsi="Garamond"/>
          <w:lang w:val="en-US" w:eastAsia="en-US"/>
        </w:rPr>
        <w:t>executed</w:t>
      </w:r>
      <w:r w:rsidR="00CD3699" w:rsidRPr="00C979D6">
        <w:rPr>
          <w:rFonts w:ascii="Garamond" w:eastAsia="Calibri" w:hAnsi="Garamond"/>
          <w:lang w:val="en-US" w:eastAsia="en-US"/>
        </w:rPr>
        <w:t xml:space="preserve"> budget</w:t>
      </w:r>
      <w:r w:rsidR="00CD3699">
        <w:rPr>
          <w:rFonts w:ascii="Garamond" w:eastAsia="Calibri" w:hAnsi="Garamond"/>
          <w:lang w:val="en-US" w:eastAsia="en-US"/>
        </w:rPr>
        <w:t xml:space="preserve"> of the General Government, </w:t>
      </w:r>
      <w:r w:rsidR="00923876">
        <w:rPr>
          <w:rFonts w:ascii="Garamond" w:eastAsia="Calibri" w:hAnsi="Garamond"/>
          <w:lang w:val="en-US" w:eastAsia="en-US"/>
        </w:rPr>
        <w:t xml:space="preserve">or, </w:t>
      </w:r>
      <w:r w:rsidR="00CD3699">
        <w:rPr>
          <w:rFonts w:ascii="Garamond" w:eastAsia="Calibri" w:hAnsi="Garamond"/>
          <w:lang w:val="en-US" w:eastAsia="en-US"/>
        </w:rPr>
        <w:t>failing this, information for the Central Government</w:t>
      </w:r>
      <w:r w:rsidR="004659DC">
        <w:rPr>
          <w:rFonts w:ascii="Garamond" w:eastAsia="Calibri" w:hAnsi="Garamond"/>
          <w:lang w:val="en-US" w:eastAsia="ja-JP"/>
        </w:rPr>
        <w:t xml:space="preserve">. </w:t>
      </w:r>
    </w:p>
    <w:p w14:paraId="400D6156" w14:textId="77777777" w:rsidR="00BC3A01" w:rsidRPr="002D5E14" w:rsidRDefault="00BC3A01" w:rsidP="00231BB9">
      <w:pPr>
        <w:jc w:val="both"/>
        <w:rPr>
          <w:rFonts w:ascii="Garamond" w:eastAsia="Calibri" w:hAnsi="Garamond"/>
          <w:lang w:val="en-US" w:eastAsia="ja-JP"/>
        </w:rPr>
      </w:pPr>
      <w:bookmarkStart w:id="0" w:name="_GoBack"/>
      <w:bookmarkEnd w:id="0"/>
    </w:p>
    <w:p w14:paraId="5C5BFB6E" w14:textId="5986CDE7" w:rsidR="00FA3D70" w:rsidRPr="002D5E14" w:rsidRDefault="006F2338" w:rsidP="00FA3D70">
      <w:pPr>
        <w:pStyle w:val="Prrafodelista"/>
        <w:numPr>
          <w:ilvl w:val="0"/>
          <w:numId w:val="11"/>
        </w:numPr>
        <w:spacing w:after="200" w:line="276" w:lineRule="auto"/>
        <w:jc w:val="both"/>
        <w:rPr>
          <w:rFonts w:ascii="Garamond" w:eastAsia="Calibri" w:hAnsi="Garamond"/>
          <w:lang w:val="en-US" w:eastAsia="ja-JP"/>
        </w:rPr>
      </w:pPr>
      <w:r>
        <w:rPr>
          <w:rFonts w:ascii="Garamond" w:eastAsia="Calibri" w:hAnsi="Garamond"/>
          <w:lang w:val="en-US" w:eastAsia="ja-JP"/>
        </w:rPr>
        <w:t xml:space="preserve">An </w:t>
      </w:r>
      <w:r w:rsidR="004659DC">
        <w:rPr>
          <w:rFonts w:ascii="Garamond" w:eastAsia="Calibri" w:hAnsi="Garamond"/>
          <w:lang w:val="en-US" w:eastAsia="ja-JP"/>
        </w:rPr>
        <w:t>a</w:t>
      </w:r>
      <w:r w:rsidR="00FA3D70" w:rsidRPr="002D5E14">
        <w:rPr>
          <w:rFonts w:ascii="Garamond" w:eastAsia="Calibri" w:hAnsi="Garamond"/>
          <w:lang w:val="en-US" w:eastAsia="ja-JP"/>
        </w:rPr>
        <w:t xml:space="preserve">udited or </w:t>
      </w:r>
      <w:r w:rsidR="007D45EF">
        <w:rPr>
          <w:rFonts w:ascii="Garamond" w:eastAsia="Calibri" w:hAnsi="Garamond"/>
          <w:lang w:val="en-US" w:eastAsia="ja-JP"/>
        </w:rPr>
        <w:t>executed</w:t>
      </w:r>
      <w:r w:rsidR="00FA3D70" w:rsidRPr="002D5E14">
        <w:rPr>
          <w:rFonts w:ascii="Garamond" w:eastAsia="Calibri" w:hAnsi="Garamond"/>
          <w:lang w:val="en-US" w:eastAsia="ja-JP"/>
        </w:rPr>
        <w:t xml:space="preserve"> budget</w:t>
      </w:r>
      <w:r>
        <w:rPr>
          <w:rFonts w:ascii="Garamond" w:eastAsia="Calibri" w:hAnsi="Garamond"/>
          <w:lang w:val="en-US" w:eastAsia="ja-JP"/>
        </w:rPr>
        <w:t xml:space="preserve"> together with</w:t>
      </w:r>
      <w:r w:rsidR="00FA3D70" w:rsidRPr="002D5E14">
        <w:rPr>
          <w:rFonts w:ascii="Garamond" w:eastAsia="Calibri" w:hAnsi="Garamond"/>
          <w:lang w:val="en-US" w:eastAsia="ja-JP"/>
        </w:rPr>
        <w:t xml:space="preserve"> </w:t>
      </w:r>
      <w:r w:rsidR="004659DC">
        <w:rPr>
          <w:rFonts w:ascii="Garamond" w:eastAsia="Calibri" w:hAnsi="Garamond"/>
          <w:lang w:val="en-US" w:eastAsia="ja-JP"/>
        </w:rPr>
        <w:t>the</w:t>
      </w:r>
      <w:r>
        <w:rPr>
          <w:rFonts w:ascii="Garamond" w:eastAsia="Calibri" w:hAnsi="Garamond"/>
          <w:lang w:val="en-US" w:eastAsia="ja-JP"/>
        </w:rPr>
        <w:t xml:space="preserve"> administratively-recorded</w:t>
      </w:r>
      <w:r w:rsidR="004659DC">
        <w:rPr>
          <w:rFonts w:ascii="Garamond" w:eastAsia="Calibri" w:hAnsi="Garamond"/>
          <w:lang w:val="en-US" w:eastAsia="ja-JP"/>
        </w:rPr>
        <w:t xml:space="preserve"> </w:t>
      </w:r>
      <w:r w:rsidR="00FA3D70" w:rsidRPr="002D5E14">
        <w:rPr>
          <w:rFonts w:ascii="Garamond" w:eastAsia="Calibri" w:hAnsi="Garamond"/>
          <w:lang w:val="en-US" w:eastAsia="ja-JP"/>
        </w:rPr>
        <w:t>number of beneficiaries</w:t>
      </w:r>
      <w:r>
        <w:rPr>
          <w:rFonts w:ascii="Garamond" w:eastAsia="Calibri" w:hAnsi="Garamond"/>
          <w:lang w:val="en-US" w:eastAsia="ja-JP"/>
        </w:rPr>
        <w:t xml:space="preserve"> (or </w:t>
      </w:r>
      <w:r w:rsidR="00FA3D70" w:rsidRPr="002D5E14">
        <w:rPr>
          <w:rFonts w:ascii="Garamond" w:eastAsia="Calibri" w:hAnsi="Garamond"/>
          <w:lang w:val="en-US" w:eastAsia="ja-JP"/>
        </w:rPr>
        <w:t>tax</w:t>
      </w:r>
      <w:r>
        <w:rPr>
          <w:rFonts w:ascii="Garamond" w:eastAsia="Calibri" w:hAnsi="Garamond"/>
          <w:lang w:val="en-US" w:eastAsia="ja-JP"/>
        </w:rPr>
        <w:t>-</w:t>
      </w:r>
      <w:r w:rsidR="00FA3D70" w:rsidRPr="002D5E14">
        <w:rPr>
          <w:rFonts w:ascii="Garamond" w:eastAsia="Calibri" w:hAnsi="Garamond"/>
          <w:lang w:val="en-US" w:eastAsia="ja-JP"/>
        </w:rPr>
        <w:t>payers</w:t>
      </w:r>
      <w:r>
        <w:rPr>
          <w:rFonts w:ascii="Garamond" w:eastAsia="Calibri" w:hAnsi="Garamond"/>
          <w:lang w:val="en-US" w:eastAsia="ja-JP"/>
        </w:rPr>
        <w:t>, where relevant)</w:t>
      </w:r>
      <w:r w:rsidR="00FA3D70" w:rsidRPr="002D5E14">
        <w:rPr>
          <w:rFonts w:ascii="Garamond" w:eastAsia="Calibri" w:hAnsi="Garamond"/>
          <w:lang w:val="en-US" w:eastAsia="ja-JP"/>
        </w:rPr>
        <w:t xml:space="preserve"> and </w:t>
      </w:r>
      <w:r>
        <w:rPr>
          <w:rFonts w:ascii="Garamond" w:eastAsia="Calibri" w:hAnsi="Garamond"/>
          <w:lang w:val="en-US" w:eastAsia="ja-JP"/>
        </w:rPr>
        <w:t xml:space="preserve">administratively-recorded </w:t>
      </w:r>
      <w:r w:rsidR="00FA3D70" w:rsidRPr="002D5E14">
        <w:rPr>
          <w:rFonts w:ascii="Garamond" w:eastAsia="Calibri" w:hAnsi="Garamond"/>
          <w:lang w:val="en-US" w:eastAsia="ja-JP"/>
        </w:rPr>
        <w:t>amount</w:t>
      </w:r>
      <w:r>
        <w:rPr>
          <w:rFonts w:ascii="Garamond" w:eastAsia="Calibri" w:hAnsi="Garamond"/>
          <w:lang w:val="en-US" w:eastAsia="ja-JP"/>
        </w:rPr>
        <w:t>s</w:t>
      </w:r>
      <w:r w:rsidR="00FA3D70" w:rsidRPr="002D5E14">
        <w:rPr>
          <w:rFonts w:ascii="Garamond" w:eastAsia="Calibri" w:hAnsi="Garamond"/>
          <w:lang w:val="en-US" w:eastAsia="ja-JP"/>
        </w:rPr>
        <w:t xml:space="preserve"> received </w:t>
      </w:r>
      <w:r>
        <w:rPr>
          <w:rFonts w:ascii="Garamond" w:eastAsia="Calibri" w:hAnsi="Garamond"/>
          <w:lang w:val="en-US" w:eastAsia="ja-JP"/>
        </w:rPr>
        <w:t>(</w:t>
      </w:r>
      <w:r w:rsidR="00FA3D70" w:rsidRPr="002D5E14">
        <w:rPr>
          <w:rFonts w:ascii="Garamond" w:eastAsia="Calibri" w:hAnsi="Garamond"/>
          <w:lang w:val="en-US" w:eastAsia="ja-JP"/>
        </w:rPr>
        <w:t>or pa</w:t>
      </w:r>
      <w:r w:rsidR="002F1BD8">
        <w:rPr>
          <w:rFonts w:ascii="Garamond" w:eastAsia="Calibri" w:hAnsi="Garamond"/>
          <w:lang w:val="en-US" w:eastAsia="ja-JP"/>
        </w:rPr>
        <w:t>id</w:t>
      </w:r>
      <w:r>
        <w:rPr>
          <w:rFonts w:ascii="Garamond" w:eastAsia="Calibri" w:hAnsi="Garamond"/>
          <w:lang w:val="en-US" w:eastAsia="ja-JP"/>
        </w:rPr>
        <w:t>, where relevant)</w:t>
      </w:r>
      <w:r w:rsidR="00FA3D70" w:rsidRPr="002D5E14">
        <w:rPr>
          <w:rFonts w:ascii="Garamond" w:eastAsia="Calibri" w:hAnsi="Garamond"/>
          <w:lang w:val="en-US" w:eastAsia="ja-JP"/>
        </w:rPr>
        <w:t xml:space="preserve"> for each fiscal intervention </w:t>
      </w:r>
      <w:r>
        <w:rPr>
          <w:rFonts w:ascii="Garamond" w:eastAsia="Calibri" w:hAnsi="Garamond"/>
          <w:lang w:val="en-US" w:eastAsia="ja-JP"/>
        </w:rPr>
        <w:t>are essentials</w:t>
      </w:r>
      <w:r w:rsidR="00FA3D70" w:rsidRPr="002D5E14">
        <w:rPr>
          <w:rFonts w:ascii="Garamond" w:eastAsia="Calibri" w:hAnsi="Garamond"/>
          <w:lang w:val="en-US" w:eastAsia="ja-JP"/>
        </w:rPr>
        <w:t xml:space="preserve">. </w:t>
      </w:r>
      <w:r w:rsidR="00A80827">
        <w:rPr>
          <w:rFonts w:ascii="Garamond" w:eastAsia="Calibri" w:hAnsi="Garamond"/>
          <w:lang w:val="en-US" w:eastAsia="ja-JP"/>
        </w:rPr>
        <w:t>Disaggregation</w:t>
      </w:r>
      <w:r>
        <w:rPr>
          <w:rFonts w:ascii="Garamond" w:eastAsia="Calibri" w:hAnsi="Garamond"/>
          <w:lang w:val="en-US" w:eastAsia="ja-JP"/>
        </w:rPr>
        <w:t xml:space="preserve"> of those quantities by region, by sub-program, or by sector are also essential</w:t>
      </w:r>
      <w:r w:rsidR="00FA3D70" w:rsidRPr="002D5E14">
        <w:rPr>
          <w:rFonts w:ascii="Garamond" w:eastAsia="Calibri" w:hAnsi="Garamond"/>
          <w:lang w:val="en-US" w:eastAsia="ja-JP"/>
        </w:rPr>
        <w:t xml:space="preserve">. In the case of education, </w:t>
      </w:r>
      <w:r>
        <w:rPr>
          <w:rFonts w:ascii="Garamond" w:eastAsia="Calibri" w:hAnsi="Garamond"/>
          <w:lang w:val="en-US" w:eastAsia="ja-JP"/>
        </w:rPr>
        <w:t xml:space="preserve">for example, </w:t>
      </w:r>
      <w:r w:rsidR="00FA3D70" w:rsidRPr="002D5E14">
        <w:rPr>
          <w:rFonts w:ascii="Garamond" w:eastAsia="Calibri" w:hAnsi="Garamond"/>
          <w:lang w:val="en-US" w:eastAsia="ja-JP"/>
        </w:rPr>
        <w:t xml:space="preserve">expenditures and enrollment should be broken down by </w:t>
      </w:r>
      <w:r w:rsidR="002F1BD8" w:rsidRPr="002D5E14">
        <w:rPr>
          <w:rFonts w:ascii="Garamond" w:eastAsia="Calibri" w:hAnsi="Garamond"/>
          <w:lang w:val="en-US" w:eastAsia="ja-JP"/>
        </w:rPr>
        <w:t xml:space="preserve">level </w:t>
      </w:r>
      <w:r w:rsidR="002F1BD8">
        <w:rPr>
          <w:rFonts w:ascii="Garamond" w:eastAsia="Calibri" w:hAnsi="Garamond"/>
          <w:lang w:val="en-US" w:eastAsia="ja-JP"/>
        </w:rPr>
        <w:t xml:space="preserve">of </w:t>
      </w:r>
      <w:r w:rsidR="00FA3D70" w:rsidRPr="002D5E14">
        <w:rPr>
          <w:rFonts w:ascii="Garamond" w:eastAsia="Calibri" w:hAnsi="Garamond"/>
          <w:lang w:val="en-US" w:eastAsia="ja-JP"/>
        </w:rPr>
        <w:t xml:space="preserve">schooling: pre-primary, primary, </w:t>
      </w:r>
      <w:proofErr w:type="gramStart"/>
      <w:r w:rsidR="00FA3D70" w:rsidRPr="002D5E14">
        <w:rPr>
          <w:rFonts w:ascii="Garamond" w:eastAsia="Calibri" w:hAnsi="Garamond"/>
          <w:lang w:val="en-US" w:eastAsia="ja-JP"/>
        </w:rPr>
        <w:t>secondary</w:t>
      </w:r>
      <w:proofErr w:type="gramEnd"/>
      <w:r w:rsidR="00FA3D70" w:rsidRPr="002D5E14">
        <w:rPr>
          <w:rFonts w:ascii="Garamond" w:eastAsia="Calibri" w:hAnsi="Garamond"/>
          <w:lang w:val="en-US" w:eastAsia="ja-JP"/>
        </w:rPr>
        <w:t xml:space="preserve"> and tertiary (at least). If any public spending ends up in the private system (civil servant</w:t>
      </w:r>
      <w:r w:rsidR="002F1BD8">
        <w:rPr>
          <w:rFonts w:ascii="Garamond" w:eastAsia="Calibri" w:hAnsi="Garamond"/>
          <w:lang w:val="en-US" w:eastAsia="ja-JP"/>
        </w:rPr>
        <w:t xml:space="preserve"> and</w:t>
      </w:r>
      <w:r w:rsidR="00FA3D70" w:rsidRPr="002D5E14">
        <w:rPr>
          <w:rFonts w:ascii="Garamond" w:eastAsia="Calibri" w:hAnsi="Garamond"/>
          <w:lang w:val="en-US" w:eastAsia="ja-JP"/>
        </w:rPr>
        <w:t xml:space="preserve"> teachers, usually), then it would be desirable </w:t>
      </w:r>
      <w:r w:rsidR="002F1BD8">
        <w:rPr>
          <w:rFonts w:ascii="Garamond" w:eastAsia="Calibri" w:hAnsi="Garamond"/>
          <w:lang w:val="en-US" w:eastAsia="ja-JP"/>
        </w:rPr>
        <w:t xml:space="preserve">to have some way </w:t>
      </w:r>
      <w:r w:rsidR="00FA3D70" w:rsidRPr="002D5E14">
        <w:rPr>
          <w:rFonts w:ascii="Garamond" w:eastAsia="Calibri" w:hAnsi="Garamond"/>
          <w:lang w:val="en-US" w:eastAsia="ja-JP"/>
        </w:rPr>
        <w:t>to estimate th</w:t>
      </w:r>
      <w:r w:rsidR="002F1BD8">
        <w:rPr>
          <w:rFonts w:ascii="Garamond" w:eastAsia="Calibri" w:hAnsi="Garamond"/>
          <w:lang w:val="en-US" w:eastAsia="ja-JP"/>
        </w:rPr>
        <w:t>at spending</w:t>
      </w:r>
      <w:r w:rsidR="00FA3D70" w:rsidRPr="002D5E14">
        <w:rPr>
          <w:rFonts w:ascii="Garamond" w:eastAsia="Calibri" w:hAnsi="Garamond"/>
          <w:lang w:val="en-US" w:eastAsia="ja-JP"/>
        </w:rPr>
        <w:t>. In the case of health, please provide whatever general breakdown of the spending is available</w:t>
      </w:r>
      <w:r>
        <w:rPr>
          <w:rFonts w:ascii="Garamond" w:eastAsia="Calibri" w:hAnsi="Garamond"/>
          <w:lang w:val="en-US" w:eastAsia="ja-JP"/>
        </w:rPr>
        <w:t xml:space="preserve">: expenditures absorbed by </w:t>
      </w:r>
      <w:r w:rsidR="00FA3D70" w:rsidRPr="002D5E14">
        <w:rPr>
          <w:rFonts w:ascii="Garamond" w:eastAsia="Calibri" w:hAnsi="Garamond"/>
          <w:lang w:val="en-US" w:eastAsia="ja-JP"/>
        </w:rPr>
        <w:t xml:space="preserve">hospitals versus clinics, or </w:t>
      </w:r>
      <w:r>
        <w:rPr>
          <w:rFonts w:ascii="Garamond" w:eastAsia="Calibri" w:hAnsi="Garamond"/>
          <w:lang w:val="en-US" w:eastAsia="ja-JP"/>
        </w:rPr>
        <w:t>by inpatient services versus outpatient services</w:t>
      </w:r>
      <w:r>
        <w:rPr>
          <w:rStyle w:val="Refdenotaalpie"/>
          <w:rFonts w:ascii="Garamond" w:eastAsia="Calibri" w:hAnsi="Garamond"/>
          <w:lang w:val="en-US" w:eastAsia="ja-JP"/>
        </w:rPr>
        <w:footnoteReference w:id="4"/>
      </w:r>
      <w:r w:rsidR="00FA3D70" w:rsidRPr="002D5E14">
        <w:rPr>
          <w:rFonts w:ascii="Garamond" w:eastAsia="Calibri" w:hAnsi="Garamond"/>
          <w:lang w:val="en-US" w:eastAsia="ja-JP"/>
        </w:rPr>
        <w:t xml:space="preserve"> hospitalized patients versus outpatients, or spending on wages versus goods and services. </w:t>
      </w:r>
    </w:p>
    <w:p w14:paraId="4FC986F9" w14:textId="77777777" w:rsidR="00FA3D70" w:rsidRPr="002D5E14" w:rsidRDefault="00FA3D70" w:rsidP="00FA3D70">
      <w:pPr>
        <w:pStyle w:val="Prrafodelista"/>
        <w:spacing w:after="200" w:line="276" w:lineRule="auto"/>
        <w:jc w:val="both"/>
        <w:rPr>
          <w:rFonts w:ascii="Garamond" w:eastAsia="Calibri" w:hAnsi="Garamond"/>
          <w:lang w:val="en-US" w:eastAsia="ja-JP"/>
        </w:rPr>
      </w:pPr>
    </w:p>
    <w:p w14:paraId="014BDA66" w14:textId="77777777" w:rsidR="0046322A" w:rsidRPr="002D5E14" w:rsidRDefault="004570E2" w:rsidP="00FA3D70">
      <w:pPr>
        <w:pStyle w:val="Prrafodelista"/>
        <w:spacing w:after="200" w:line="276" w:lineRule="auto"/>
        <w:jc w:val="both"/>
        <w:rPr>
          <w:rFonts w:ascii="Garamond" w:eastAsia="Calibri" w:hAnsi="Garamond"/>
          <w:u w:val="single"/>
          <w:lang w:val="en-US" w:eastAsia="en-US"/>
        </w:rPr>
      </w:pPr>
      <w:r>
        <w:rPr>
          <w:rFonts w:ascii="Garamond" w:eastAsia="Calibri" w:hAnsi="Garamond"/>
          <w:lang w:val="en-US" w:eastAsia="ja-JP"/>
        </w:rPr>
        <w:t>With the fiscal-</w:t>
      </w:r>
      <w:r w:rsidR="00933078">
        <w:rPr>
          <w:rFonts w:ascii="Garamond" w:eastAsia="Calibri" w:hAnsi="Garamond"/>
          <w:lang w:val="en-US" w:eastAsia="ja-JP"/>
        </w:rPr>
        <w:t>administrative</w:t>
      </w:r>
      <w:r>
        <w:rPr>
          <w:rFonts w:ascii="Garamond" w:eastAsia="Calibri" w:hAnsi="Garamond"/>
          <w:lang w:val="en-US" w:eastAsia="ja-JP"/>
        </w:rPr>
        <w:t xml:space="preserve"> data, the CEQ analyst can </w:t>
      </w:r>
      <w:r w:rsidR="00FA3D70" w:rsidRPr="002D5E14">
        <w:rPr>
          <w:rFonts w:ascii="Garamond" w:eastAsia="Calibri" w:hAnsi="Garamond"/>
          <w:lang w:val="en-US" w:eastAsia="ja-JP"/>
        </w:rPr>
        <w:t xml:space="preserve">construct </w:t>
      </w:r>
      <w:r w:rsidR="009E76A6">
        <w:rPr>
          <w:rFonts w:ascii="Garamond" w:eastAsia="Calibri" w:hAnsi="Garamond"/>
          <w:lang w:val="en-US" w:eastAsia="ja-JP"/>
        </w:rPr>
        <w:t>T</w:t>
      </w:r>
      <w:r w:rsidR="00FA3D70" w:rsidRPr="002D5E14">
        <w:rPr>
          <w:rFonts w:ascii="Garamond" w:eastAsia="Calibri" w:hAnsi="Garamond"/>
          <w:lang w:val="en-US" w:eastAsia="ja-JP"/>
        </w:rPr>
        <w:t xml:space="preserve">able </w:t>
      </w:r>
      <w:r w:rsidR="009E76A6">
        <w:rPr>
          <w:rFonts w:ascii="Garamond" w:eastAsia="Calibri" w:hAnsi="Garamond"/>
          <w:lang w:val="en-US" w:eastAsia="ja-JP"/>
        </w:rPr>
        <w:t>4-1</w:t>
      </w:r>
      <w:r w:rsidR="00466240">
        <w:rPr>
          <w:rFonts w:ascii="Garamond" w:eastAsia="Calibri" w:hAnsi="Garamond"/>
          <w:lang w:val="en-US" w:eastAsia="ja-JP"/>
        </w:rPr>
        <w:t xml:space="preserve"> </w:t>
      </w:r>
      <w:r w:rsidR="00FA3D70" w:rsidRPr="002D5E14">
        <w:rPr>
          <w:rFonts w:ascii="Garamond" w:eastAsia="Calibri" w:hAnsi="Garamond"/>
          <w:lang w:val="en-US" w:eastAsia="ja-JP"/>
        </w:rPr>
        <w:t xml:space="preserve">columns B, </w:t>
      </w:r>
      <w:proofErr w:type="gramStart"/>
      <w:r w:rsidR="00FA3D70" w:rsidRPr="002D5E14">
        <w:rPr>
          <w:rFonts w:ascii="Garamond" w:eastAsia="Calibri" w:hAnsi="Garamond"/>
          <w:lang w:val="en-US" w:eastAsia="ja-JP"/>
        </w:rPr>
        <w:t>D</w:t>
      </w:r>
      <w:proofErr w:type="gramEnd"/>
      <w:r w:rsidR="00FA3D70" w:rsidRPr="002D5E14">
        <w:rPr>
          <w:rFonts w:ascii="Garamond" w:eastAsia="Calibri" w:hAnsi="Garamond"/>
          <w:lang w:val="en-US" w:eastAsia="ja-JP"/>
        </w:rPr>
        <w:t xml:space="preserve"> and F (shaded in blue). </w:t>
      </w:r>
      <w:r>
        <w:rPr>
          <w:rFonts w:ascii="Garamond" w:eastAsia="Calibri" w:hAnsi="Garamond"/>
          <w:lang w:val="en-US" w:eastAsia="ja-JP"/>
        </w:rPr>
        <w:t>S</w:t>
      </w:r>
      <w:r w:rsidR="00FA3D70" w:rsidRPr="002D5E14">
        <w:rPr>
          <w:rFonts w:ascii="Garamond" w:eastAsia="Calibri" w:hAnsi="Garamond"/>
          <w:lang w:val="en-US" w:eastAsia="ja-JP"/>
        </w:rPr>
        <w:t xml:space="preserve">heet C1 of the </w:t>
      </w:r>
      <w:r>
        <w:rPr>
          <w:rFonts w:ascii="Garamond" w:eastAsia="Calibri" w:hAnsi="Garamond"/>
          <w:lang w:val="en-US" w:eastAsia="ja-JP"/>
        </w:rPr>
        <w:t xml:space="preserve">CEQ </w:t>
      </w:r>
      <w:r w:rsidR="00FA3D70" w:rsidRPr="002D5E14">
        <w:rPr>
          <w:rFonts w:ascii="Garamond" w:eastAsia="Calibri" w:hAnsi="Garamond"/>
          <w:lang w:val="en-US" w:eastAsia="ja-JP"/>
        </w:rPr>
        <w:t>Master Workbook</w:t>
      </w:r>
      <w:r>
        <w:rPr>
          <w:rFonts w:ascii="Garamond" w:eastAsia="Calibri" w:hAnsi="Garamond"/>
          <w:lang w:val="en-US" w:eastAsia="ja-JP"/>
        </w:rPr>
        <w:t xml:space="preserve"> (MWB)</w:t>
      </w:r>
      <w:r w:rsidR="00FA3D70" w:rsidRPr="002D5E14">
        <w:rPr>
          <w:rFonts w:ascii="Garamond" w:eastAsia="Calibri" w:hAnsi="Garamond"/>
          <w:lang w:val="en-US" w:eastAsia="ja-JP"/>
        </w:rPr>
        <w:t xml:space="preserve"> </w:t>
      </w:r>
      <w:r>
        <w:rPr>
          <w:rFonts w:ascii="Garamond" w:eastAsia="Calibri" w:hAnsi="Garamond"/>
          <w:lang w:val="en-US" w:eastAsia="ja-JP"/>
        </w:rPr>
        <w:t xml:space="preserve">also asks for the information in Table 4-1 columns A through E, so starting a preliminary table outside of the MWB will cut down on MWB archival time later. </w:t>
      </w:r>
    </w:p>
    <w:p w14:paraId="560629A9" w14:textId="77777777" w:rsidR="004440BE" w:rsidRPr="004E6238" w:rsidRDefault="009E76A6" w:rsidP="004440BE">
      <w:pPr>
        <w:spacing w:after="200" w:line="276" w:lineRule="auto"/>
        <w:ind w:left="720"/>
        <w:contextualSpacing/>
        <w:rPr>
          <w:rFonts w:ascii="Garamond" w:eastAsia="Calibri" w:hAnsi="Garamond"/>
          <w:sz w:val="18"/>
          <w:szCs w:val="18"/>
          <w:u w:val="single"/>
          <w:lang w:val="en-US" w:eastAsia="en-US"/>
        </w:rPr>
      </w:pPr>
      <w:r>
        <w:rPr>
          <w:rFonts w:ascii="Garamond" w:eastAsia="Calibri" w:hAnsi="Garamond"/>
          <w:sz w:val="18"/>
          <w:szCs w:val="18"/>
          <w:u w:val="single"/>
          <w:lang w:val="en-US" w:eastAsia="en-US"/>
        </w:rPr>
        <w:t>Table 4-1</w:t>
      </w:r>
    </w:p>
    <w:tbl>
      <w:tblPr>
        <w:tblStyle w:val="Tablaconcuadrcula"/>
        <w:tblW w:w="0" w:type="auto"/>
        <w:tblInd w:w="720" w:type="dxa"/>
        <w:tblLayout w:type="fixed"/>
        <w:tblLook w:val="04A0" w:firstRow="1" w:lastRow="0" w:firstColumn="1" w:lastColumn="0" w:noHBand="0" w:noVBand="1"/>
      </w:tblPr>
      <w:tblGrid>
        <w:gridCol w:w="1165"/>
        <w:gridCol w:w="990"/>
        <w:gridCol w:w="1170"/>
        <w:gridCol w:w="1258"/>
        <w:gridCol w:w="1496"/>
        <w:gridCol w:w="1116"/>
        <w:gridCol w:w="1095"/>
      </w:tblGrid>
      <w:tr w:rsidR="0046322A" w14:paraId="444946BB" w14:textId="77777777" w:rsidTr="00C06492">
        <w:tc>
          <w:tcPr>
            <w:tcW w:w="1165" w:type="dxa"/>
            <w:shd w:val="clear" w:color="auto" w:fill="auto"/>
          </w:tcPr>
          <w:p w14:paraId="4579117C" w14:textId="77777777" w:rsidR="00706550" w:rsidRPr="0046322A" w:rsidRDefault="00706550" w:rsidP="004E6238">
            <w:pPr>
              <w:spacing w:after="200" w:line="276" w:lineRule="auto"/>
              <w:contextualSpacing/>
              <w:rPr>
                <w:rFonts w:ascii="Garamond" w:eastAsia="Calibri" w:hAnsi="Garamond"/>
                <w:sz w:val="16"/>
                <w:szCs w:val="16"/>
                <w:lang w:val="en-US" w:eastAsia="en-US"/>
              </w:rPr>
            </w:pPr>
            <w:r w:rsidRPr="0046322A">
              <w:rPr>
                <w:rFonts w:ascii="Garamond" w:eastAsia="Calibri" w:hAnsi="Garamond"/>
                <w:sz w:val="16"/>
                <w:szCs w:val="16"/>
                <w:lang w:val="en-US" w:eastAsia="en-US"/>
              </w:rPr>
              <w:t>Fiscal Intervention</w:t>
            </w:r>
            <w:r w:rsidR="00C2586C">
              <w:rPr>
                <w:rFonts w:ascii="Garamond" w:eastAsia="Calibri" w:hAnsi="Garamond"/>
                <w:sz w:val="16"/>
                <w:szCs w:val="16"/>
                <w:lang w:val="en-US" w:eastAsia="en-US"/>
              </w:rPr>
              <w:t xml:space="preserve"> (A)</w:t>
            </w:r>
          </w:p>
        </w:tc>
        <w:tc>
          <w:tcPr>
            <w:tcW w:w="990" w:type="dxa"/>
            <w:shd w:val="clear" w:color="auto" w:fill="D9E2F3" w:themeFill="accent1" w:themeFillTint="33"/>
          </w:tcPr>
          <w:p w14:paraId="50A0A63A" w14:textId="77777777" w:rsidR="00706550" w:rsidRPr="0046322A" w:rsidRDefault="00332BD5" w:rsidP="0046322A">
            <w:pPr>
              <w:spacing w:after="200" w:line="276" w:lineRule="auto"/>
              <w:contextualSpacing/>
              <w:rPr>
                <w:rFonts w:ascii="Garamond" w:eastAsia="Calibri" w:hAnsi="Garamond"/>
                <w:sz w:val="16"/>
                <w:szCs w:val="16"/>
                <w:lang w:val="en-US" w:eastAsia="en-US"/>
              </w:rPr>
            </w:pPr>
            <w:r>
              <w:rPr>
                <w:rFonts w:ascii="Garamond" w:eastAsia="Calibri" w:hAnsi="Garamond"/>
                <w:sz w:val="16"/>
                <w:szCs w:val="16"/>
                <w:lang w:val="en-US" w:eastAsia="en-US"/>
              </w:rPr>
              <w:t>Audited or e</w:t>
            </w:r>
            <w:r w:rsidR="00093F6E">
              <w:rPr>
                <w:rFonts w:ascii="Garamond" w:eastAsia="Calibri" w:hAnsi="Garamond"/>
                <w:sz w:val="16"/>
                <w:szCs w:val="16"/>
                <w:lang w:val="en-US" w:eastAsia="en-US"/>
              </w:rPr>
              <w:t>xecuted</w:t>
            </w:r>
            <w:r w:rsidR="0046322A" w:rsidRPr="0046322A">
              <w:rPr>
                <w:rFonts w:ascii="Garamond" w:eastAsia="Calibri" w:hAnsi="Garamond"/>
                <w:sz w:val="16"/>
                <w:szCs w:val="16"/>
                <w:lang w:val="en-US" w:eastAsia="en-US"/>
              </w:rPr>
              <w:t xml:space="preserve"> b</w:t>
            </w:r>
            <w:r w:rsidR="00706550" w:rsidRPr="0046322A">
              <w:rPr>
                <w:rFonts w:ascii="Garamond" w:eastAsia="Calibri" w:hAnsi="Garamond"/>
                <w:sz w:val="16"/>
                <w:szCs w:val="16"/>
                <w:lang w:val="en-US" w:eastAsia="en-US"/>
              </w:rPr>
              <w:t>udget</w:t>
            </w:r>
            <w:r w:rsidR="0046322A" w:rsidRPr="0046322A">
              <w:rPr>
                <w:rFonts w:ascii="Garamond" w:eastAsia="Calibri" w:hAnsi="Garamond"/>
                <w:sz w:val="16"/>
                <w:szCs w:val="16"/>
                <w:lang w:val="en-US" w:eastAsia="en-US"/>
              </w:rPr>
              <w:t xml:space="preserve"> </w:t>
            </w:r>
            <w:r w:rsidR="00C2586C">
              <w:rPr>
                <w:rFonts w:ascii="Garamond" w:eastAsia="Calibri" w:hAnsi="Garamond"/>
                <w:sz w:val="16"/>
                <w:szCs w:val="16"/>
                <w:lang w:val="en-US" w:eastAsia="en-US"/>
              </w:rPr>
              <w:t>(B)</w:t>
            </w:r>
          </w:p>
        </w:tc>
        <w:tc>
          <w:tcPr>
            <w:tcW w:w="1170" w:type="dxa"/>
          </w:tcPr>
          <w:p w14:paraId="3E15D34A" w14:textId="77777777" w:rsidR="00706550" w:rsidRPr="0046322A" w:rsidRDefault="0046322A" w:rsidP="004E6238">
            <w:pPr>
              <w:spacing w:after="200" w:line="276" w:lineRule="auto"/>
              <w:contextualSpacing/>
              <w:rPr>
                <w:rFonts w:ascii="Garamond" w:eastAsia="Calibri" w:hAnsi="Garamond"/>
                <w:sz w:val="16"/>
                <w:szCs w:val="16"/>
                <w:lang w:val="en-US" w:eastAsia="en-US"/>
              </w:rPr>
            </w:pPr>
            <w:r w:rsidRPr="0046322A">
              <w:rPr>
                <w:rFonts w:ascii="Garamond" w:eastAsia="Calibri" w:hAnsi="Garamond"/>
                <w:sz w:val="16"/>
                <w:szCs w:val="16"/>
                <w:lang w:val="en-US" w:eastAsia="en-US"/>
              </w:rPr>
              <w:t>T</w:t>
            </w:r>
            <w:r w:rsidR="005B0F5E">
              <w:rPr>
                <w:rFonts w:ascii="Garamond" w:eastAsia="Calibri" w:hAnsi="Garamond"/>
                <w:sz w:val="16"/>
                <w:szCs w:val="16"/>
                <w:lang w:val="en-US" w:eastAsia="en-US"/>
              </w:rPr>
              <w:t>otal a</w:t>
            </w:r>
            <w:r w:rsidRPr="0046322A">
              <w:rPr>
                <w:rFonts w:ascii="Garamond" w:eastAsia="Calibri" w:hAnsi="Garamond"/>
                <w:sz w:val="16"/>
                <w:szCs w:val="16"/>
                <w:lang w:val="en-US" w:eastAsia="en-US"/>
              </w:rPr>
              <w:t>mount a</w:t>
            </w:r>
            <w:r w:rsidR="00706550" w:rsidRPr="0046322A">
              <w:rPr>
                <w:rFonts w:ascii="Garamond" w:eastAsia="Calibri" w:hAnsi="Garamond"/>
                <w:sz w:val="16"/>
                <w:szCs w:val="16"/>
                <w:lang w:val="en-US" w:eastAsia="en-US"/>
              </w:rPr>
              <w:t xml:space="preserve">ccording to the </w:t>
            </w:r>
            <w:r w:rsidRPr="0046322A">
              <w:rPr>
                <w:rFonts w:ascii="Garamond" w:eastAsia="Calibri" w:hAnsi="Garamond"/>
                <w:sz w:val="16"/>
                <w:szCs w:val="16"/>
                <w:lang w:val="en-US" w:eastAsia="en-US"/>
              </w:rPr>
              <w:t>s</w:t>
            </w:r>
            <w:r w:rsidR="00706550" w:rsidRPr="0046322A">
              <w:rPr>
                <w:rFonts w:ascii="Garamond" w:eastAsia="Calibri" w:hAnsi="Garamond"/>
                <w:sz w:val="16"/>
                <w:szCs w:val="16"/>
                <w:lang w:val="en-US" w:eastAsia="en-US"/>
              </w:rPr>
              <w:t xml:space="preserve">urvey </w:t>
            </w:r>
            <w:r w:rsidR="00466240">
              <w:rPr>
                <w:rFonts w:ascii="Garamond" w:eastAsia="Calibri" w:hAnsi="Garamond"/>
                <w:sz w:val="16"/>
                <w:szCs w:val="16"/>
                <w:lang w:val="en-US" w:eastAsia="en-US"/>
              </w:rPr>
              <w:t>(C)</w:t>
            </w:r>
          </w:p>
        </w:tc>
        <w:tc>
          <w:tcPr>
            <w:tcW w:w="1258" w:type="dxa"/>
            <w:shd w:val="clear" w:color="auto" w:fill="D9E2F3" w:themeFill="accent1" w:themeFillTint="33"/>
          </w:tcPr>
          <w:p w14:paraId="66579E04" w14:textId="77777777" w:rsidR="00706550" w:rsidRPr="0046322A" w:rsidRDefault="0046322A" w:rsidP="004E6238">
            <w:pPr>
              <w:spacing w:after="200" w:line="276" w:lineRule="auto"/>
              <w:contextualSpacing/>
              <w:rPr>
                <w:rFonts w:ascii="Garamond" w:eastAsia="Calibri" w:hAnsi="Garamond"/>
                <w:sz w:val="16"/>
                <w:szCs w:val="16"/>
                <w:lang w:val="en-US" w:eastAsia="en-US"/>
              </w:rPr>
            </w:pPr>
            <w:r>
              <w:rPr>
                <w:rFonts w:ascii="Garamond" w:eastAsia="Calibri" w:hAnsi="Garamond"/>
                <w:sz w:val="16"/>
                <w:szCs w:val="16"/>
                <w:lang w:val="en-US" w:eastAsia="en-US"/>
              </w:rPr>
              <w:t>Number of b</w:t>
            </w:r>
            <w:r w:rsidR="00706550" w:rsidRPr="0046322A">
              <w:rPr>
                <w:rFonts w:ascii="Garamond" w:eastAsia="Calibri" w:hAnsi="Garamond"/>
                <w:sz w:val="16"/>
                <w:szCs w:val="16"/>
                <w:lang w:val="en-US" w:eastAsia="en-US"/>
              </w:rPr>
              <w:t>eneficiaries</w:t>
            </w:r>
            <w:r>
              <w:rPr>
                <w:rFonts w:ascii="Garamond" w:eastAsia="Calibri" w:hAnsi="Garamond"/>
                <w:sz w:val="16"/>
                <w:szCs w:val="16"/>
                <w:lang w:val="en-US" w:eastAsia="en-US"/>
              </w:rPr>
              <w:t>/p</w:t>
            </w:r>
            <w:r w:rsidR="00706550" w:rsidRPr="0046322A">
              <w:rPr>
                <w:rFonts w:ascii="Garamond" w:eastAsia="Calibri" w:hAnsi="Garamond"/>
                <w:sz w:val="16"/>
                <w:szCs w:val="16"/>
                <w:lang w:val="en-US" w:eastAsia="en-US"/>
              </w:rPr>
              <w:t>ayers</w:t>
            </w:r>
            <w:r w:rsidRPr="0046322A">
              <w:rPr>
                <w:rFonts w:ascii="Garamond" w:eastAsia="Calibri" w:hAnsi="Garamond"/>
                <w:sz w:val="16"/>
                <w:szCs w:val="16"/>
                <w:lang w:val="en-US" w:eastAsia="en-US"/>
              </w:rPr>
              <w:t xml:space="preserve"> a</w:t>
            </w:r>
            <w:r w:rsidR="00706550" w:rsidRPr="0046322A">
              <w:rPr>
                <w:rFonts w:ascii="Garamond" w:eastAsia="Calibri" w:hAnsi="Garamond"/>
                <w:sz w:val="16"/>
                <w:szCs w:val="16"/>
                <w:lang w:val="en-US" w:eastAsia="en-US"/>
              </w:rPr>
              <w:t xml:space="preserve">ccording to </w:t>
            </w:r>
            <w:r w:rsidRPr="0046322A">
              <w:rPr>
                <w:rFonts w:ascii="Garamond" w:eastAsia="Calibri" w:hAnsi="Garamond"/>
                <w:sz w:val="16"/>
                <w:szCs w:val="16"/>
                <w:lang w:val="en-US" w:eastAsia="en-US"/>
              </w:rPr>
              <w:t>a</w:t>
            </w:r>
            <w:r w:rsidR="00706550" w:rsidRPr="0046322A">
              <w:rPr>
                <w:rFonts w:ascii="Garamond" w:eastAsia="Calibri" w:hAnsi="Garamond"/>
                <w:sz w:val="16"/>
                <w:szCs w:val="16"/>
                <w:lang w:val="en-US" w:eastAsia="en-US"/>
              </w:rPr>
              <w:t xml:space="preserve">dministrative </w:t>
            </w:r>
            <w:r w:rsidRPr="0046322A">
              <w:rPr>
                <w:rFonts w:ascii="Garamond" w:eastAsia="Calibri" w:hAnsi="Garamond"/>
                <w:sz w:val="16"/>
                <w:szCs w:val="16"/>
                <w:lang w:val="en-US" w:eastAsia="en-US"/>
              </w:rPr>
              <w:t>a</w:t>
            </w:r>
            <w:r w:rsidR="00706550" w:rsidRPr="0046322A">
              <w:rPr>
                <w:rFonts w:ascii="Garamond" w:eastAsia="Calibri" w:hAnsi="Garamond"/>
                <w:sz w:val="16"/>
                <w:szCs w:val="16"/>
                <w:lang w:val="en-US" w:eastAsia="en-US"/>
              </w:rPr>
              <w:t>ccounts</w:t>
            </w:r>
            <w:r w:rsidR="00C2586C">
              <w:rPr>
                <w:rFonts w:ascii="Garamond" w:eastAsia="Calibri" w:hAnsi="Garamond"/>
                <w:sz w:val="16"/>
                <w:szCs w:val="16"/>
                <w:lang w:val="en-US" w:eastAsia="en-US"/>
              </w:rPr>
              <w:t xml:space="preserve"> (D)</w:t>
            </w:r>
          </w:p>
        </w:tc>
        <w:tc>
          <w:tcPr>
            <w:tcW w:w="1496" w:type="dxa"/>
          </w:tcPr>
          <w:p w14:paraId="4A55DB04" w14:textId="77777777" w:rsidR="00706550" w:rsidRPr="0046322A" w:rsidRDefault="0046322A" w:rsidP="00706550">
            <w:pPr>
              <w:spacing w:after="200" w:line="276" w:lineRule="auto"/>
              <w:contextualSpacing/>
              <w:rPr>
                <w:rFonts w:ascii="Garamond" w:eastAsia="Calibri" w:hAnsi="Garamond"/>
                <w:sz w:val="16"/>
                <w:szCs w:val="16"/>
                <w:u w:val="single"/>
                <w:lang w:val="en-US" w:eastAsia="en-US"/>
              </w:rPr>
            </w:pPr>
            <w:r w:rsidRPr="0046322A">
              <w:rPr>
                <w:rFonts w:ascii="Garamond" w:eastAsia="Calibri" w:hAnsi="Garamond"/>
                <w:sz w:val="16"/>
                <w:szCs w:val="16"/>
                <w:lang w:val="en-US" w:eastAsia="en-US"/>
              </w:rPr>
              <w:t>Number of b</w:t>
            </w:r>
            <w:r w:rsidR="00706550" w:rsidRPr="0046322A">
              <w:rPr>
                <w:rFonts w:ascii="Garamond" w:eastAsia="Calibri" w:hAnsi="Garamond"/>
                <w:sz w:val="16"/>
                <w:szCs w:val="16"/>
                <w:lang w:val="en-US" w:eastAsia="en-US"/>
              </w:rPr>
              <w:t>eneficiaries</w:t>
            </w:r>
            <w:r w:rsidRPr="0046322A">
              <w:rPr>
                <w:rFonts w:ascii="Garamond" w:eastAsia="Calibri" w:hAnsi="Garamond"/>
                <w:sz w:val="16"/>
                <w:szCs w:val="16"/>
                <w:lang w:val="en-US" w:eastAsia="en-US"/>
              </w:rPr>
              <w:t>/p</w:t>
            </w:r>
            <w:r w:rsidR="00706550" w:rsidRPr="0046322A">
              <w:rPr>
                <w:rFonts w:ascii="Garamond" w:eastAsia="Calibri" w:hAnsi="Garamond"/>
                <w:sz w:val="16"/>
                <w:szCs w:val="16"/>
                <w:lang w:val="en-US" w:eastAsia="en-US"/>
              </w:rPr>
              <w:t xml:space="preserve">ayers according to </w:t>
            </w:r>
            <w:r w:rsidRPr="0046322A">
              <w:rPr>
                <w:rFonts w:ascii="Garamond" w:eastAsia="Calibri" w:hAnsi="Garamond"/>
                <w:sz w:val="16"/>
                <w:szCs w:val="16"/>
                <w:lang w:val="en-US" w:eastAsia="en-US"/>
              </w:rPr>
              <w:t>the s</w:t>
            </w:r>
            <w:r w:rsidR="00706550" w:rsidRPr="0046322A">
              <w:rPr>
                <w:rFonts w:ascii="Garamond" w:eastAsia="Calibri" w:hAnsi="Garamond"/>
                <w:sz w:val="16"/>
                <w:szCs w:val="16"/>
                <w:lang w:val="en-US" w:eastAsia="en-US"/>
              </w:rPr>
              <w:t>urvey</w:t>
            </w:r>
            <w:r w:rsidR="00C2586C">
              <w:rPr>
                <w:rFonts w:ascii="Garamond" w:eastAsia="Calibri" w:hAnsi="Garamond"/>
                <w:sz w:val="16"/>
                <w:szCs w:val="16"/>
                <w:lang w:val="en-US" w:eastAsia="en-US"/>
              </w:rPr>
              <w:t xml:space="preserve"> (E)</w:t>
            </w:r>
          </w:p>
        </w:tc>
        <w:tc>
          <w:tcPr>
            <w:tcW w:w="1116" w:type="dxa"/>
            <w:shd w:val="clear" w:color="auto" w:fill="D9E2F3" w:themeFill="accent1" w:themeFillTint="33"/>
          </w:tcPr>
          <w:p w14:paraId="5AC000F1" w14:textId="77777777" w:rsidR="00706550" w:rsidRPr="0046322A" w:rsidRDefault="00706550" w:rsidP="00466240">
            <w:pPr>
              <w:spacing w:after="200" w:line="276" w:lineRule="auto"/>
              <w:contextualSpacing/>
              <w:rPr>
                <w:rFonts w:ascii="Garamond" w:eastAsia="Calibri" w:hAnsi="Garamond"/>
                <w:sz w:val="16"/>
                <w:szCs w:val="16"/>
                <w:lang w:val="en-US" w:eastAsia="en-US"/>
              </w:rPr>
            </w:pPr>
            <w:r w:rsidRPr="0046322A">
              <w:rPr>
                <w:rFonts w:ascii="Garamond" w:eastAsia="Calibri" w:hAnsi="Garamond"/>
                <w:sz w:val="16"/>
                <w:szCs w:val="16"/>
                <w:lang w:val="en-US" w:eastAsia="en-US"/>
              </w:rPr>
              <w:t>Benefit according to administrative accounts</w:t>
            </w:r>
            <w:r w:rsidR="00466240">
              <w:rPr>
                <w:rFonts w:ascii="Garamond" w:eastAsia="Calibri" w:hAnsi="Garamond"/>
                <w:sz w:val="16"/>
                <w:szCs w:val="16"/>
                <w:lang w:val="en-US" w:eastAsia="en-US"/>
              </w:rPr>
              <w:t xml:space="preserve"> (F)</w:t>
            </w:r>
            <w:r w:rsidR="00DD7F2F">
              <w:rPr>
                <w:rFonts w:ascii="Garamond" w:eastAsia="Calibri" w:hAnsi="Garamond"/>
                <w:sz w:val="16"/>
                <w:szCs w:val="16"/>
                <w:lang w:val="en-US" w:eastAsia="en-US"/>
              </w:rPr>
              <w:t>. This appl</w:t>
            </w:r>
            <w:r w:rsidR="00466240">
              <w:rPr>
                <w:rFonts w:ascii="Garamond" w:eastAsia="Calibri" w:hAnsi="Garamond"/>
                <w:sz w:val="16"/>
                <w:szCs w:val="16"/>
                <w:lang w:val="en-US" w:eastAsia="en-US"/>
              </w:rPr>
              <w:t>ies</w:t>
            </w:r>
            <w:r w:rsidR="00DD7F2F">
              <w:rPr>
                <w:rFonts w:ascii="Garamond" w:eastAsia="Calibri" w:hAnsi="Garamond"/>
                <w:sz w:val="16"/>
                <w:szCs w:val="16"/>
                <w:lang w:val="en-US" w:eastAsia="en-US"/>
              </w:rPr>
              <w:t xml:space="preserve"> only to direct transfers and subsidies.</w:t>
            </w:r>
          </w:p>
        </w:tc>
        <w:tc>
          <w:tcPr>
            <w:tcW w:w="1095" w:type="dxa"/>
          </w:tcPr>
          <w:p w14:paraId="12F10B40" w14:textId="77777777" w:rsidR="00706550" w:rsidRPr="0046322A" w:rsidRDefault="00706550" w:rsidP="00706550">
            <w:pPr>
              <w:spacing w:after="200" w:line="276" w:lineRule="auto"/>
              <w:contextualSpacing/>
              <w:rPr>
                <w:rFonts w:ascii="Garamond" w:eastAsia="Calibri" w:hAnsi="Garamond"/>
                <w:sz w:val="16"/>
                <w:szCs w:val="16"/>
                <w:lang w:val="en-US" w:eastAsia="en-US"/>
              </w:rPr>
            </w:pPr>
            <w:r w:rsidRPr="0046322A">
              <w:rPr>
                <w:rFonts w:ascii="Garamond" w:eastAsia="Calibri" w:hAnsi="Garamond"/>
                <w:sz w:val="16"/>
                <w:szCs w:val="16"/>
                <w:lang w:val="en-US" w:eastAsia="en-US"/>
              </w:rPr>
              <w:t>Benefit reported in the survey if applicable</w:t>
            </w:r>
            <w:r w:rsidR="00C2586C">
              <w:rPr>
                <w:rFonts w:ascii="Garamond" w:eastAsia="Calibri" w:hAnsi="Garamond"/>
                <w:sz w:val="16"/>
                <w:szCs w:val="16"/>
                <w:lang w:val="en-US" w:eastAsia="en-US"/>
              </w:rPr>
              <w:t xml:space="preserve"> (G)</w:t>
            </w:r>
            <w:r w:rsidR="00DD7F2F">
              <w:rPr>
                <w:rFonts w:ascii="Garamond" w:eastAsia="Calibri" w:hAnsi="Garamond"/>
                <w:sz w:val="16"/>
                <w:szCs w:val="16"/>
                <w:lang w:val="en-US" w:eastAsia="en-US"/>
              </w:rPr>
              <w:t>. This appl</w:t>
            </w:r>
            <w:r w:rsidR="00466240">
              <w:rPr>
                <w:rFonts w:ascii="Garamond" w:eastAsia="Calibri" w:hAnsi="Garamond"/>
                <w:sz w:val="16"/>
                <w:szCs w:val="16"/>
                <w:lang w:val="en-US" w:eastAsia="en-US"/>
              </w:rPr>
              <w:t>ies</w:t>
            </w:r>
            <w:r w:rsidR="00DD7F2F">
              <w:rPr>
                <w:rFonts w:ascii="Garamond" w:eastAsia="Calibri" w:hAnsi="Garamond"/>
                <w:sz w:val="16"/>
                <w:szCs w:val="16"/>
                <w:lang w:val="en-US" w:eastAsia="en-US"/>
              </w:rPr>
              <w:t xml:space="preserve"> only to direct transfers and subsidies.</w:t>
            </w:r>
          </w:p>
        </w:tc>
      </w:tr>
      <w:tr w:rsidR="00373B8C" w14:paraId="0F800A5D" w14:textId="77777777" w:rsidTr="00C06492">
        <w:tc>
          <w:tcPr>
            <w:tcW w:w="1165" w:type="dxa"/>
            <w:shd w:val="clear" w:color="auto" w:fill="auto"/>
            <w:vAlign w:val="center"/>
          </w:tcPr>
          <w:p w14:paraId="4A2B3B6A" w14:textId="77777777" w:rsidR="00373B8C" w:rsidRPr="00FD4FC5" w:rsidRDefault="00672400" w:rsidP="00672400">
            <w:pPr>
              <w:spacing w:after="200" w:line="276" w:lineRule="auto"/>
              <w:contextualSpacing/>
              <w:rPr>
                <w:rFonts w:ascii="Garamond" w:eastAsia="Calibri" w:hAnsi="Garamond"/>
                <w:sz w:val="18"/>
                <w:szCs w:val="18"/>
                <w:u w:val="single"/>
                <w:lang w:val="es-ES" w:eastAsia="en-US"/>
              </w:rPr>
            </w:pPr>
            <w:r w:rsidRPr="00C06492">
              <w:rPr>
                <w:rFonts w:ascii="Garamond" w:eastAsia="Calibri" w:hAnsi="Garamond"/>
                <w:sz w:val="18"/>
                <w:szCs w:val="18"/>
                <w:lang w:val="en-US" w:eastAsia="en-US"/>
              </w:rPr>
              <w:t xml:space="preserve">Guardian </w:t>
            </w:r>
            <w:r w:rsidR="00C06492" w:rsidRPr="00C06492">
              <w:rPr>
                <w:rFonts w:ascii="Garamond" w:eastAsia="Calibri" w:hAnsi="Garamond"/>
                <w:sz w:val="18"/>
                <w:szCs w:val="18"/>
                <w:lang w:val="en-US" w:eastAsia="en-US"/>
              </w:rPr>
              <w:t xml:space="preserve">Angel </w:t>
            </w:r>
          </w:p>
        </w:tc>
        <w:tc>
          <w:tcPr>
            <w:tcW w:w="990" w:type="dxa"/>
            <w:shd w:val="clear" w:color="auto" w:fill="D9E2F3" w:themeFill="accent1" w:themeFillTint="33"/>
            <w:vAlign w:val="center"/>
          </w:tcPr>
          <w:p w14:paraId="77933649" w14:textId="49B22DE4" w:rsidR="00373B8C" w:rsidRDefault="00373B8C">
            <w:pPr>
              <w:spacing w:after="200" w:line="276" w:lineRule="auto"/>
              <w:contextualSpacing/>
              <w:rPr>
                <w:rFonts w:ascii="Garamond" w:eastAsia="Calibri" w:hAnsi="Garamond"/>
                <w:sz w:val="18"/>
                <w:szCs w:val="18"/>
                <w:u w:val="single"/>
                <w:lang w:val="en-US" w:eastAsia="en-US"/>
              </w:rPr>
            </w:pPr>
            <w:r w:rsidRPr="009C3EB1">
              <w:rPr>
                <w:rFonts w:ascii="Garamond" w:eastAsia="Calibri" w:hAnsi="Garamond"/>
                <w:sz w:val="18"/>
                <w:szCs w:val="18"/>
                <w:lang w:val="en-US" w:eastAsia="en-US"/>
              </w:rPr>
              <w:t>15</w:t>
            </w:r>
            <w:r w:rsidR="002042CE">
              <w:rPr>
                <w:rFonts w:ascii="Garamond" w:eastAsia="Calibri" w:hAnsi="Garamond"/>
                <w:sz w:val="18"/>
                <w:szCs w:val="18"/>
                <w:lang w:val="en-US" w:eastAsia="en-US"/>
              </w:rPr>
              <w:t>,000,000</w:t>
            </w:r>
          </w:p>
        </w:tc>
        <w:tc>
          <w:tcPr>
            <w:tcW w:w="1170" w:type="dxa"/>
            <w:vAlign w:val="center"/>
          </w:tcPr>
          <w:p w14:paraId="6596741F" w14:textId="5397520D" w:rsidR="00373B8C" w:rsidRDefault="00373B8C">
            <w:pPr>
              <w:spacing w:after="200" w:line="276" w:lineRule="auto"/>
              <w:contextualSpacing/>
              <w:rPr>
                <w:rFonts w:ascii="Garamond" w:eastAsia="Calibri" w:hAnsi="Garamond"/>
                <w:sz w:val="18"/>
                <w:szCs w:val="18"/>
                <w:u w:val="single"/>
                <w:lang w:val="en-US" w:eastAsia="en-US"/>
              </w:rPr>
            </w:pPr>
            <w:r w:rsidRPr="009C3EB1">
              <w:rPr>
                <w:rFonts w:ascii="Garamond" w:eastAsia="Calibri" w:hAnsi="Garamond"/>
                <w:sz w:val="18"/>
                <w:szCs w:val="18"/>
                <w:lang w:val="en-US" w:eastAsia="en-US"/>
              </w:rPr>
              <w:t>12</w:t>
            </w:r>
            <w:r w:rsidR="002042CE">
              <w:rPr>
                <w:rFonts w:ascii="Garamond" w:eastAsia="Calibri" w:hAnsi="Garamond"/>
                <w:sz w:val="18"/>
                <w:szCs w:val="18"/>
                <w:lang w:val="en-US" w:eastAsia="en-US"/>
              </w:rPr>
              <w:t>,000,000</w:t>
            </w:r>
          </w:p>
        </w:tc>
        <w:tc>
          <w:tcPr>
            <w:tcW w:w="1258" w:type="dxa"/>
            <w:shd w:val="clear" w:color="auto" w:fill="D9E2F3" w:themeFill="accent1" w:themeFillTint="33"/>
            <w:vAlign w:val="center"/>
          </w:tcPr>
          <w:p w14:paraId="57F1AECA" w14:textId="77777777" w:rsidR="00373B8C" w:rsidRDefault="00373B8C" w:rsidP="004E6238">
            <w:pPr>
              <w:spacing w:after="200" w:line="276" w:lineRule="auto"/>
              <w:contextualSpacing/>
              <w:rPr>
                <w:rFonts w:ascii="Garamond" w:eastAsia="Calibri" w:hAnsi="Garamond"/>
                <w:sz w:val="18"/>
                <w:szCs w:val="18"/>
                <w:u w:val="single"/>
                <w:lang w:val="en-US" w:eastAsia="en-US"/>
              </w:rPr>
            </w:pPr>
            <w:r w:rsidRPr="009C3EB1">
              <w:rPr>
                <w:rFonts w:ascii="Garamond" w:eastAsia="Calibri" w:hAnsi="Garamond"/>
                <w:sz w:val="18"/>
                <w:szCs w:val="18"/>
                <w:lang w:val="en-US" w:eastAsia="en-US"/>
              </w:rPr>
              <w:t>16,696</w:t>
            </w:r>
          </w:p>
        </w:tc>
        <w:tc>
          <w:tcPr>
            <w:tcW w:w="1496" w:type="dxa"/>
            <w:vAlign w:val="center"/>
          </w:tcPr>
          <w:p w14:paraId="6DCB59F1" w14:textId="77777777" w:rsidR="00373B8C" w:rsidRDefault="00373B8C" w:rsidP="004E6238">
            <w:pPr>
              <w:spacing w:after="200" w:line="276" w:lineRule="auto"/>
              <w:contextualSpacing/>
              <w:rPr>
                <w:rFonts w:ascii="Garamond" w:eastAsia="Calibri" w:hAnsi="Garamond"/>
                <w:sz w:val="18"/>
                <w:szCs w:val="18"/>
                <w:u w:val="single"/>
                <w:lang w:val="en-US" w:eastAsia="en-US"/>
              </w:rPr>
            </w:pPr>
            <w:r w:rsidRPr="009C3EB1">
              <w:rPr>
                <w:rFonts w:ascii="Garamond" w:eastAsia="Calibri" w:hAnsi="Garamond"/>
                <w:sz w:val="18"/>
                <w:szCs w:val="18"/>
                <w:lang w:val="en-US" w:eastAsia="en-US"/>
              </w:rPr>
              <w:t>12,542</w:t>
            </w:r>
          </w:p>
        </w:tc>
        <w:tc>
          <w:tcPr>
            <w:tcW w:w="1116" w:type="dxa"/>
            <w:shd w:val="clear" w:color="auto" w:fill="D9E2F3" w:themeFill="accent1" w:themeFillTint="33"/>
            <w:vAlign w:val="center"/>
          </w:tcPr>
          <w:p w14:paraId="2D46553C" w14:textId="77777777" w:rsidR="00373B8C" w:rsidRDefault="00373B8C" w:rsidP="004E6238">
            <w:pPr>
              <w:spacing w:after="200" w:line="276" w:lineRule="auto"/>
              <w:contextualSpacing/>
              <w:rPr>
                <w:rFonts w:ascii="Garamond" w:eastAsia="Calibri" w:hAnsi="Garamond"/>
                <w:sz w:val="18"/>
                <w:szCs w:val="18"/>
                <w:u w:val="single"/>
                <w:lang w:val="en-US" w:eastAsia="en-US"/>
              </w:rPr>
            </w:pPr>
            <w:r>
              <w:rPr>
                <w:rFonts w:ascii="Garamond" w:eastAsia="Calibri" w:hAnsi="Garamond"/>
                <w:sz w:val="18"/>
                <w:szCs w:val="18"/>
                <w:lang w:val="en-US" w:eastAsia="en-US"/>
              </w:rPr>
              <w:t>80</w:t>
            </w:r>
          </w:p>
        </w:tc>
        <w:tc>
          <w:tcPr>
            <w:tcW w:w="1095" w:type="dxa"/>
            <w:vAlign w:val="center"/>
          </w:tcPr>
          <w:p w14:paraId="7E409AD0" w14:textId="77777777" w:rsidR="00373B8C" w:rsidRDefault="00373B8C" w:rsidP="004E6238">
            <w:pPr>
              <w:spacing w:after="200" w:line="276" w:lineRule="auto"/>
              <w:contextualSpacing/>
              <w:rPr>
                <w:rFonts w:ascii="Garamond" w:eastAsia="Calibri" w:hAnsi="Garamond"/>
                <w:sz w:val="18"/>
                <w:szCs w:val="18"/>
                <w:u w:val="single"/>
                <w:lang w:val="en-US" w:eastAsia="en-US"/>
              </w:rPr>
            </w:pPr>
            <w:r>
              <w:rPr>
                <w:rFonts w:ascii="Garamond" w:eastAsia="Calibri" w:hAnsi="Garamond"/>
                <w:sz w:val="18"/>
                <w:szCs w:val="18"/>
                <w:lang w:val="en-US" w:eastAsia="en-US"/>
              </w:rPr>
              <w:t>80</w:t>
            </w:r>
          </w:p>
        </w:tc>
      </w:tr>
      <w:tr w:rsidR="00EF67A2" w14:paraId="35E25F0E" w14:textId="77777777" w:rsidTr="00C06492">
        <w:tc>
          <w:tcPr>
            <w:tcW w:w="1165" w:type="dxa"/>
            <w:shd w:val="clear" w:color="auto" w:fill="auto"/>
          </w:tcPr>
          <w:p w14:paraId="3E1A3B5F" w14:textId="77777777" w:rsidR="00EF67A2" w:rsidRPr="0086772B" w:rsidRDefault="00EF67A2" w:rsidP="004E6238">
            <w:pPr>
              <w:spacing w:after="200" w:line="276" w:lineRule="auto"/>
              <w:contextualSpacing/>
              <w:rPr>
                <w:rFonts w:ascii="Garamond" w:eastAsia="Calibri" w:hAnsi="Garamond"/>
                <w:sz w:val="18"/>
                <w:szCs w:val="18"/>
                <w:lang w:val="en-US" w:eastAsia="en-US"/>
              </w:rPr>
            </w:pPr>
          </w:p>
        </w:tc>
        <w:tc>
          <w:tcPr>
            <w:tcW w:w="990" w:type="dxa"/>
            <w:shd w:val="clear" w:color="auto" w:fill="D9E2F3" w:themeFill="accent1" w:themeFillTint="33"/>
          </w:tcPr>
          <w:p w14:paraId="0F647E16" w14:textId="77777777" w:rsidR="00EF67A2" w:rsidRPr="0086772B" w:rsidRDefault="00EF67A2" w:rsidP="001F10D0">
            <w:pPr>
              <w:spacing w:after="200" w:line="276" w:lineRule="auto"/>
              <w:contextualSpacing/>
              <w:rPr>
                <w:rFonts w:ascii="Garamond" w:eastAsia="Calibri" w:hAnsi="Garamond"/>
                <w:sz w:val="18"/>
                <w:szCs w:val="18"/>
                <w:lang w:val="en-US" w:eastAsia="en-US"/>
              </w:rPr>
            </w:pPr>
          </w:p>
        </w:tc>
        <w:tc>
          <w:tcPr>
            <w:tcW w:w="1170" w:type="dxa"/>
          </w:tcPr>
          <w:p w14:paraId="1D45CBEA" w14:textId="77777777" w:rsidR="00EF67A2" w:rsidRPr="0086772B" w:rsidRDefault="00EF67A2" w:rsidP="001F10D0">
            <w:pPr>
              <w:spacing w:after="200" w:line="276" w:lineRule="auto"/>
              <w:contextualSpacing/>
              <w:rPr>
                <w:rFonts w:ascii="Garamond" w:eastAsia="Calibri" w:hAnsi="Garamond"/>
                <w:sz w:val="18"/>
                <w:szCs w:val="18"/>
                <w:lang w:val="en-US" w:eastAsia="en-US"/>
              </w:rPr>
            </w:pPr>
          </w:p>
        </w:tc>
        <w:tc>
          <w:tcPr>
            <w:tcW w:w="1258" w:type="dxa"/>
            <w:shd w:val="clear" w:color="auto" w:fill="D9E2F3" w:themeFill="accent1" w:themeFillTint="33"/>
          </w:tcPr>
          <w:p w14:paraId="19AC9325" w14:textId="77777777" w:rsidR="00EF67A2" w:rsidRPr="0086772B" w:rsidRDefault="00EF67A2" w:rsidP="004E6238">
            <w:pPr>
              <w:spacing w:after="200" w:line="276" w:lineRule="auto"/>
              <w:contextualSpacing/>
              <w:rPr>
                <w:rFonts w:ascii="Garamond" w:eastAsia="Calibri" w:hAnsi="Garamond"/>
                <w:sz w:val="18"/>
                <w:szCs w:val="18"/>
                <w:lang w:val="en-US" w:eastAsia="en-US"/>
              </w:rPr>
            </w:pPr>
          </w:p>
        </w:tc>
        <w:tc>
          <w:tcPr>
            <w:tcW w:w="1496" w:type="dxa"/>
          </w:tcPr>
          <w:p w14:paraId="0C95C2B1" w14:textId="77777777" w:rsidR="00EF67A2" w:rsidRPr="0086772B" w:rsidRDefault="00EF67A2" w:rsidP="004E6238">
            <w:pPr>
              <w:spacing w:after="200" w:line="276" w:lineRule="auto"/>
              <w:contextualSpacing/>
              <w:rPr>
                <w:rFonts w:ascii="Garamond" w:eastAsia="Calibri" w:hAnsi="Garamond"/>
                <w:sz w:val="18"/>
                <w:szCs w:val="18"/>
                <w:lang w:val="en-US" w:eastAsia="en-US"/>
              </w:rPr>
            </w:pPr>
          </w:p>
        </w:tc>
        <w:tc>
          <w:tcPr>
            <w:tcW w:w="1116" w:type="dxa"/>
            <w:shd w:val="clear" w:color="auto" w:fill="D9E2F3" w:themeFill="accent1" w:themeFillTint="33"/>
          </w:tcPr>
          <w:p w14:paraId="685AC861" w14:textId="77777777" w:rsidR="00EF67A2" w:rsidRPr="0086772B" w:rsidRDefault="00EF67A2" w:rsidP="004E6238">
            <w:pPr>
              <w:spacing w:after="200" w:line="276" w:lineRule="auto"/>
              <w:contextualSpacing/>
              <w:rPr>
                <w:rFonts w:ascii="Garamond" w:eastAsia="Calibri" w:hAnsi="Garamond"/>
                <w:sz w:val="18"/>
                <w:szCs w:val="18"/>
                <w:lang w:val="en-US" w:eastAsia="en-US"/>
              </w:rPr>
            </w:pPr>
          </w:p>
        </w:tc>
        <w:tc>
          <w:tcPr>
            <w:tcW w:w="1095" w:type="dxa"/>
          </w:tcPr>
          <w:p w14:paraId="7DC62766" w14:textId="77777777" w:rsidR="00EF67A2" w:rsidRPr="0086772B" w:rsidRDefault="00EF67A2" w:rsidP="004E6238">
            <w:pPr>
              <w:spacing w:after="200" w:line="276" w:lineRule="auto"/>
              <w:contextualSpacing/>
              <w:rPr>
                <w:rFonts w:ascii="Garamond" w:eastAsia="Calibri" w:hAnsi="Garamond"/>
                <w:sz w:val="18"/>
                <w:szCs w:val="18"/>
                <w:lang w:val="en-US" w:eastAsia="en-US"/>
              </w:rPr>
            </w:pPr>
          </w:p>
        </w:tc>
      </w:tr>
      <w:tr w:rsidR="00EF67A2" w14:paraId="646E6084" w14:textId="77777777" w:rsidTr="00C06492">
        <w:tc>
          <w:tcPr>
            <w:tcW w:w="1165" w:type="dxa"/>
            <w:shd w:val="clear" w:color="auto" w:fill="auto"/>
          </w:tcPr>
          <w:p w14:paraId="48655E3F" w14:textId="77777777" w:rsidR="00EF67A2" w:rsidRDefault="00EF67A2" w:rsidP="004E6238">
            <w:pPr>
              <w:spacing w:after="200" w:line="276" w:lineRule="auto"/>
              <w:contextualSpacing/>
              <w:rPr>
                <w:rFonts w:ascii="Garamond" w:eastAsia="Calibri" w:hAnsi="Garamond"/>
                <w:sz w:val="18"/>
                <w:szCs w:val="18"/>
                <w:u w:val="single"/>
                <w:lang w:val="en-US" w:eastAsia="en-US"/>
              </w:rPr>
            </w:pPr>
          </w:p>
        </w:tc>
        <w:tc>
          <w:tcPr>
            <w:tcW w:w="990" w:type="dxa"/>
            <w:shd w:val="clear" w:color="auto" w:fill="D9E2F3" w:themeFill="accent1" w:themeFillTint="33"/>
          </w:tcPr>
          <w:p w14:paraId="73DD7FA2" w14:textId="77777777" w:rsidR="00EF67A2" w:rsidRDefault="00EF67A2" w:rsidP="004E6238">
            <w:pPr>
              <w:spacing w:after="200" w:line="276" w:lineRule="auto"/>
              <w:contextualSpacing/>
              <w:rPr>
                <w:rFonts w:ascii="Garamond" w:eastAsia="Calibri" w:hAnsi="Garamond"/>
                <w:sz w:val="18"/>
                <w:szCs w:val="18"/>
                <w:u w:val="single"/>
                <w:lang w:val="en-US" w:eastAsia="en-US"/>
              </w:rPr>
            </w:pPr>
          </w:p>
        </w:tc>
        <w:tc>
          <w:tcPr>
            <w:tcW w:w="1170" w:type="dxa"/>
          </w:tcPr>
          <w:p w14:paraId="13766782" w14:textId="77777777" w:rsidR="00EF67A2" w:rsidRDefault="00EF67A2" w:rsidP="004E6238">
            <w:pPr>
              <w:spacing w:after="200" w:line="276" w:lineRule="auto"/>
              <w:contextualSpacing/>
              <w:rPr>
                <w:rFonts w:ascii="Garamond" w:eastAsia="Calibri" w:hAnsi="Garamond"/>
                <w:sz w:val="18"/>
                <w:szCs w:val="18"/>
                <w:u w:val="single"/>
                <w:lang w:val="en-US" w:eastAsia="en-US"/>
              </w:rPr>
            </w:pPr>
          </w:p>
        </w:tc>
        <w:tc>
          <w:tcPr>
            <w:tcW w:w="1258" w:type="dxa"/>
            <w:shd w:val="clear" w:color="auto" w:fill="D9E2F3" w:themeFill="accent1" w:themeFillTint="33"/>
          </w:tcPr>
          <w:p w14:paraId="406DB13B" w14:textId="77777777" w:rsidR="00EF67A2" w:rsidRDefault="00EF67A2" w:rsidP="004E6238">
            <w:pPr>
              <w:spacing w:after="200" w:line="276" w:lineRule="auto"/>
              <w:contextualSpacing/>
              <w:rPr>
                <w:rFonts w:ascii="Garamond" w:eastAsia="Calibri" w:hAnsi="Garamond"/>
                <w:sz w:val="18"/>
                <w:szCs w:val="18"/>
                <w:u w:val="single"/>
                <w:lang w:val="en-US" w:eastAsia="en-US"/>
              </w:rPr>
            </w:pPr>
          </w:p>
        </w:tc>
        <w:tc>
          <w:tcPr>
            <w:tcW w:w="1496" w:type="dxa"/>
          </w:tcPr>
          <w:p w14:paraId="4B34F774" w14:textId="77777777" w:rsidR="00EF67A2" w:rsidRDefault="00EF67A2" w:rsidP="004E6238">
            <w:pPr>
              <w:spacing w:after="200" w:line="276" w:lineRule="auto"/>
              <w:contextualSpacing/>
              <w:rPr>
                <w:rFonts w:ascii="Garamond" w:eastAsia="Calibri" w:hAnsi="Garamond"/>
                <w:sz w:val="18"/>
                <w:szCs w:val="18"/>
                <w:u w:val="single"/>
                <w:lang w:val="en-US" w:eastAsia="en-US"/>
              </w:rPr>
            </w:pPr>
          </w:p>
        </w:tc>
        <w:tc>
          <w:tcPr>
            <w:tcW w:w="1116" w:type="dxa"/>
            <w:shd w:val="clear" w:color="auto" w:fill="D9E2F3" w:themeFill="accent1" w:themeFillTint="33"/>
          </w:tcPr>
          <w:p w14:paraId="4A0600DF" w14:textId="77777777" w:rsidR="00EF67A2" w:rsidRDefault="00EF67A2" w:rsidP="004E6238">
            <w:pPr>
              <w:spacing w:after="200" w:line="276" w:lineRule="auto"/>
              <w:contextualSpacing/>
              <w:rPr>
                <w:rFonts w:ascii="Garamond" w:eastAsia="Calibri" w:hAnsi="Garamond"/>
                <w:sz w:val="18"/>
                <w:szCs w:val="18"/>
                <w:u w:val="single"/>
                <w:lang w:val="en-US" w:eastAsia="en-US"/>
              </w:rPr>
            </w:pPr>
          </w:p>
        </w:tc>
        <w:tc>
          <w:tcPr>
            <w:tcW w:w="1095" w:type="dxa"/>
          </w:tcPr>
          <w:p w14:paraId="635C3BC8" w14:textId="77777777" w:rsidR="00EF67A2" w:rsidRDefault="00EF67A2" w:rsidP="004E6238">
            <w:pPr>
              <w:spacing w:after="200" w:line="276" w:lineRule="auto"/>
              <w:contextualSpacing/>
              <w:rPr>
                <w:rFonts w:ascii="Garamond" w:eastAsia="Calibri" w:hAnsi="Garamond"/>
                <w:sz w:val="18"/>
                <w:szCs w:val="18"/>
                <w:u w:val="single"/>
                <w:lang w:val="en-US" w:eastAsia="en-US"/>
              </w:rPr>
            </w:pPr>
          </w:p>
        </w:tc>
      </w:tr>
    </w:tbl>
    <w:p w14:paraId="79798144" w14:textId="77777777" w:rsidR="004E6238" w:rsidRDefault="004E6238" w:rsidP="004E6238">
      <w:pPr>
        <w:spacing w:after="200" w:line="276" w:lineRule="auto"/>
        <w:ind w:left="720"/>
        <w:contextualSpacing/>
        <w:rPr>
          <w:rFonts w:ascii="Garamond" w:eastAsia="Calibri" w:hAnsi="Garamond"/>
          <w:sz w:val="18"/>
          <w:szCs w:val="18"/>
          <w:u w:val="single"/>
          <w:lang w:val="en-US" w:eastAsia="en-US"/>
        </w:rPr>
      </w:pPr>
    </w:p>
    <w:p w14:paraId="4560FB53" w14:textId="77777777" w:rsidR="00EF67A2" w:rsidRPr="002D5E14" w:rsidRDefault="00EF67A2" w:rsidP="004E6238">
      <w:pPr>
        <w:spacing w:after="200" w:line="276" w:lineRule="auto"/>
        <w:ind w:left="720"/>
        <w:contextualSpacing/>
        <w:rPr>
          <w:rFonts w:ascii="Garamond" w:eastAsia="Calibri" w:hAnsi="Garamond"/>
          <w:u w:val="single"/>
          <w:lang w:val="en-US" w:eastAsia="en-US"/>
        </w:rPr>
      </w:pPr>
      <w:r w:rsidRPr="002D5E14">
        <w:rPr>
          <w:rFonts w:ascii="Garamond" w:eastAsia="Calibri" w:hAnsi="Garamond"/>
          <w:lang w:val="en-US" w:eastAsia="en-US"/>
        </w:rPr>
        <w:t xml:space="preserve">The </w:t>
      </w:r>
      <w:r w:rsidR="009E76A6">
        <w:rPr>
          <w:rFonts w:ascii="Garamond" w:eastAsia="Calibri" w:hAnsi="Garamond"/>
          <w:lang w:val="en-US" w:eastAsia="en-US"/>
        </w:rPr>
        <w:t>T</w:t>
      </w:r>
      <w:r w:rsidRPr="002D5E14">
        <w:rPr>
          <w:rFonts w:ascii="Garamond" w:eastAsia="Calibri" w:hAnsi="Garamond"/>
          <w:lang w:val="en-US" w:eastAsia="en-US"/>
        </w:rPr>
        <w:t xml:space="preserve">able </w:t>
      </w:r>
      <w:r w:rsidR="009E76A6">
        <w:rPr>
          <w:rFonts w:ascii="Garamond" w:eastAsia="Calibri" w:hAnsi="Garamond"/>
          <w:lang w:val="en-US" w:eastAsia="en-US"/>
        </w:rPr>
        <w:t>4-1</w:t>
      </w:r>
      <w:r w:rsidRPr="002D5E14">
        <w:rPr>
          <w:rFonts w:ascii="Garamond" w:eastAsia="Calibri" w:hAnsi="Garamond"/>
          <w:lang w:val="en-US" w:eastAsia="en-US"/>
        </w:rPr>
        <w:t xml:space="preserve"> shows </w:t>
      </w:r>
      <w:r w:rsidR="00466240">
        <w:rPr>
          <w:rFonts w:ascii="Garamond" w:eastAsia="Calibri" w:hAnsi="Garamond"/>
          <w:lang w:val="en-US" w:eastAsia="en-US"/>
        </w:rPr>
        <w:t>the</w:t>
      </w:r>
      <w:r w:rsidR="00466240" w:rsidRPr="002D5E14">
        <w:rPr>
          <w:rFonts w:ascii="Garamond" w:eastAsia="Calibri" w:hAnsi="Garamond"/>
          <w:lang w:val="en-US" w:eastAsia="en-US"/>
        </w:rPr>
        <w:t xml:space="preserve"> </w:t>
      </w:r>
      <w:r w:rsidRPr="002D5E14">
        <w:rPr>
          <w:rFonts w:ascii="Garamond" w:eastAsia="Calibri" w:hAnsi="Garamond"/>
          <w:lang w:val="en-US" w:eastAsia="en-US"/>
        </w:rPr>
        <w:t>example of a Program named Guardian</w:t>
      </w:r>
      <w:r w:rsidR="00672400">
        <w:rPr>
          <w:rFonts w:ascii="Garamond" w:eastAsia="Calibri" w:hAnsi="Garamond"/>
          <w:lang w:val="en-US" w:eastAsia="en-US"/>
        </w:rPr>
        <w:t xml:space="preserve"> </w:t>
      </w:r>
      <w:r w:rsidR="00672400" w:rsidRPr="002D5E14">
        <w:rPr>
          <w:rFonts w:ascii="Garamond" w:eastAsia="Calibri" w:hAnsi="Garamond"/>
          <w:lang w:val="en-US" w:eastAsia="en-US"/>
        </w:rPr>
        <w:t>Angel</w:t>
      </w:r>
      <w:r w:rsidRPr="002D5E14">
        <w:rPr>
          <w:rFonts w:ascii="Garamond" w:eastAsia="Calibri" w:hAnsi="Garamond"/>
          <w:lang w:val="en-US" w:eastAsia="en-US"/>
        </w:rPr>
        <w:t xml:space="preserve">. </w:t>
      </w:r>
      <w:r w:rsidR="00466240">
        <w:rPr>
          <w:rFonts w:ascii="Garamond" w:eastAsia="Calibri" w:hAnsi="Garamond"/>
          <w:lang w:val="en-US" w:eastAsia="en-US"/>
        </w:rPr>
        <w:t>T</w:t>
      </w:r>
      <w:r w:rsidRPr="002D5E14">
        <w:rPr>
          <w:rFonts w:ascii="Garamond" w:eastAsia="Calibri" w:hAnsi="Garamond"/>
          <w:lang w:val="en-US" w:eastAsia="en-US"/>
        </w:rPr>
        <w:t xml:space="preserve">he explanation </w:t>
      </w:r>
      <w:r w:rsidR="00466240">
        <w:rPr>
          <w:rFonts w:ascii="Garamond" w:eastAsia="Calibri" w:hAnsi="Garamond"/>
          <w:lang w:val="en-US" w:eastAsia="en-US"/>
        </w:rPr>
        <w:t>for</w:t>
      </w:r>
      <w:r w:rsidR="00466240" w:rsidRPr="002D5E14">
        <w:rPr>
          <w:rFonts w:ascii="Garamond" w:eastAsia="Calibri" w:hAnsi="Garamond"/>
          <w:lang w:val="en-US" w:eastAsia="en-US"/>
        </w:rPr>
        <w:t xml:space="preserve"> </w:t>
      </w:r>
      <w:r w:rsidRPr="002D5E14">
        <w:rPr>
          <w:rFonts w:ascii="Garamond" w:eastAsia="Calibri" w:hAnsi="Garamond"/>
          <w:lang w:val="en-US" w:eastAsia="en-US"/>
        </w:rPr>
        <w:t>each column</w:t>
      </w:r>
      <w:r w:rsidR="00466240">
        <w:rPr>
          <w:rFonts w:ascii="Garamond" w:eastAsia="Calibri" w:hAnsi="Garamond"/>
          <w:lang w:val="en-US" w:eastAsia="en-US"/>
        </w:rPr>
        <w:t xml:space="preserve"> is found below. </w:t>
      </w:r>
      <w:r w:rsidRPr="002D5E14">
        <w:rPr>
          <w:rFonts w:ascii="Garamond" w:eastAsia="Calibri" w:hAnsi="Garamond"/>
          <w:lang w:val="en-US" w:eastAsia="en-US"/>
        </w:rPr>
        <w:t xml:space="preserve"> </w:t>
      </w:r>
    </w:p>
    <w:p w14:paraId="34966F1A" w14:textId="77777777" w:rsidR="00804511" w:rsidRPr="002D5E14" w:rsidRDefault="00804511" w:rsidP="00804511">
      <w:pPr>
        <w:pStyle w:val="Prrafodelista"/>
        <w:numPr>
          <w:ilvl w:val="0"/>
          <w:numId w:val="9"/>
        </w:numPr>
        <w:spacing w:after="200" w:line="276" w:lineRule="auto"/>
        <w:rPr>
          <w:rFonts w:ascii="Garamond" w:eastAsia="Calibri" w:hAnsi="Garamond"/>
          <w:lang w:val="en-US" w:eastAsia="en-US"/>
        </w:rPr>
      </w:pPr>
      <w:r w:rsidRPr="002D5E14">
        <w:rPr>
          <w:rFonts w:ascii="Garamond" w:eastAsia="Calibri" w:hAnsi="Garamond"/>
          <w:lang w:val="en-US" w:eastAsia="en-US"/>
        </w:rPr>
        <w:t xml:space="preserve">Fiscal Intervention: this refers to the </w:t>
      </w:r>
      <w:r w:rsidR="002042CE">
        <w:rPr>
          <w:rFonts w:ascii="Garamond" w:eastAsia="Calibri" w:hAnsi="Garamond"/>
          <w:lang w:val="en-US" w:eastAsia="en-US"/>
        </w:rPr>
        <w:t xml:space="preserve">official </w:t>
      </w:r>
      <w:r w:rsidRPr="002D5E14">
        <w:rPr>
          <w:rFonts w:ascii="Garamond" w:eastAsia="Calibri" w:hAnsi="Garamond"/>
          <w:lang w:val="en-US" w:eastAsia="en-US"/>
        </w:rPr>
        <w:t>name of the fiscal intervention. For example, Guardian</w:t>
      </w:r>
      <w:r w:rsidR="00672400">
        <w:rPr>
          <w:rFonts w:ascii="Garamond" w:eastAsia="Calibri" w:hAnsi="Garamond"/>
          <w:lang w:val="en-US" w:eastAsia="en-US"/>
        </w:rPr>
        <w:t xml:space="preserve"> </w:t>
      </w:r>
      <w:r w:rsidR="00672400" w:rsidRPr="002D5E14">
        <w:rPr>
          <w:rFonts w:ascii="Garamond" w:eastAsia="Calibri" w:hAnsi="Garamond"/>
          <w:lang w:val="en-US" w:eastAsia="en-US"/>
        </w:rPr>
        <w:t>Angel</w:t>
      </w:r>
      <w:r w:rsidRPr="002D5E14">
        <w:rPr>
          <w:rFonts w:ascii="Garamond" w:eastAsia="Calibri" w:hAnsi="Garamond"/>
          <w:lang w:val="en-US" w:eastAsia="en-US"/>
        </w:rPr>
        <w:t xml:space="preserve">. </w:t>
      </w:r>
    </w:p>
    <w:p w14:paraId="0A310B05" w14:textId="7F821990" w:rsidR="00804511" w:rsidRPr="002D5E14" w:rsidRDefault="00332BD5" w:rsidP="00804511">
      <w:pPr>
        <w:pStyle w:val="Prrafodelista"/>
        <w:numPr>
          <w:ilvl w:val="0"/>
          <w:numId w:val="9"/>
        </w:numPr>
        <w:spacing w:after="200" w:line="276" w:lineRule="auto"/>
        <w:rPr>
          <w:rFonts w:ascii="Garamond" w:eastAsia="Calibri" w:hAnsi="Garamond"/>
          <w:lang w:val="en-US" w:eastAsia="en-US"/>
        </w:rPr>
      </w:pPr>
      <w:r>
        <w:rPr>
          <w:rFonts w:ascii="Garamond" w:eastAsia="Calibri" w:hAnsi="Garamond"/>
          <w:lang w:val="en-US" w:eastAsia="en-US"/>
        </w:rPr>
        <w:t>Audited or e</w:t>
      </w:r>
      <w:r w:rsidR="00093F6E">
        <w:rPr>
          <w:rFonts w:ascii="Garamond" w:eastAsia="Calibri" w:hAnsi="Garamond"/>
          <w:lang w:val="en-US" w:eastAsia="en-US"/>
        </w:rPr>
        <w:t>xecuted</w:t>
      </w:r>
      <w:r w:rsidR="00804511" w:rsidRPr="002D5E14">
        <w:rPr>
          <w:rFonts w:ascii="Garamond" w:eastAsia="Calibri" w:hAnsi="Garamond"/>
          <w:lang w:val="en-US" w:eastAsia="en-US"/>
        </w:rPr>
        <w:t xml:space="preserve"> Budget: this column refers to how much was spent on the specific program or the total revenue produced by a specific tax during the year of the analysis</w:t>
      </w:r>
      <w:r w:rsidR="00E06F78">
        <w:rPr>
          <w:rFonts w:ascii="Garamond" w:eastAsia="Calibri" w:hAnsi="Garamond"/>
          <w:lang w:val="en-US" w:eastAsia="en-US"/>
        </w:rPr>
        <w:t xml:space="preserve"> in local currency units (LCU)</w:t>
      </w:r>
      <w:r w:rsidR="00804511" w:rsidRPr="002D5E14">
        <w:rPr>
          <w:rFonts w:ascii="Garamond" w:eastAsia="Calibri" w:hAnsi="Garamond"/>
          <w:lang w:val="en-US" w:eastAsia="en-US"/>
        </w:rPr>
        <w:t xml:space="preserve">. For example, the </w:t>
      </w:r>
      <w:r w:rsidR="009E76A6">
        <w:rPr>
          <w:rFonts w:ascii="Garamond" w:eastAsia="Calibri" w:hAnsi="Garamond"/>
          <w:lang w:val="en-US" w:eastAsia="en-US"/>
        </w:rPr>
        <w:t>T</w:t>
      </w:r>
      <w:r w:rsidR="00804511" w:rsidRPr="002D5E14">
        <w:rPr>
          <w:rFonts w:ascii="Garamond" w:eastAsia="Calibri" w:hAnsi="Garamond"/>
          <w:lang w:val="en-US" w:eastAsia="en-US"/>
        </w:rPr>
        <w:t>able</w:t>
      </w:r>
      <w:r w:rsidR="009E76A6">
        <w:rPr>
          <w:rFonts w:ascii="Garamond" w:eastAsia="Calibri" w:hAnsi="Garamond"/>
          <w:lang w:val="en-US" w:eastAsia="en-US"/>
        </w:rPr>
        <w:t xml:space="preserve"> 4-1</w:t>
      </w:r>
      <w:r w:rsidR="00804511" w:rsidRPr="002D5E14">
        <w:rPr>
          <w:rFonts w:ascii="Garamond" w:eastAsia="Calibri" w:hAnsi="Garamond"/>
          <w:lang w:val="en-US" w:eastAsia="en-US"/>
        </w:rPr>
        <w:t xml:space="preserve"> shows that the government spent 15 million on Guardian </w:t>
      </w:r>
      <w:r w:rsidR="00672400" w:rsidRPr="002D5E14">
        <w:rPr>
          <w:rFonts w:ascii="Garamond" w:eastAsia="Calibri" w:hAnsi="Garamond"/>
          <w:lang w:val="en-US" w:eastAsia="en-US"/>
        </w:rPr>
        <w:t xml:space="preserve">Angel </w:t>
      </w:r>
      <w:r w:rsidR="00466240">
        <w:rPr>
          <w:rFonts w:ascii="Garamond" w:eastAsia="Calibri" w:hAnsi="Garamond"/>
          <w:lang w:val="en-US" w:eastAsia="en-US"/>
        </w:rPr>
        <w:t xml:space="preserve">in </w:t>
      </w:r>
      <w:r w:rsidR="00804511" w:rsidRPr="002D5E14">
        <w:rPr>
          <w:rFonts w:ascii="Garamond" w:eastAsia="Calibri" w:hAnsi="Garamond"/>
          <w:lang w:val="en-US" w:eastAsia="en-US"/>
        </w:rPr>
        <w:t xml:space="preserve">the year of the analysis. This information is generally published by the Ministry of Finance, the </w:t>
      </w:r>
      <w:r w:rsidR="00423165">
        <w:rPr>
          <w:rFonts w:ascii="Garamond" w:eastAsia="Calibri" w:hAnsi="Garamond"/>
          <w:lang w:val="en-US" w:eastAsia="en-US"/>
        </w:rPr>
        <w:t>m</w:t>
      </w:r>
      <w:r w:rsidR="00804511" w:rsidRPr="002D5E14">
        <w:rPr>
          <w:rFonts w:ascii="Garamond" w:eastAsia="Calibri" w:hAnsi="Garamond"/>
          <w:lang w:val="en-US" w:eastAsia="en-US"/>
        </w:rPr>
        <w:t xml:space="preserve">inistry or </w:t>
      </w:r>
      <w:r w:rsidR="00423165">
        <w:rPr>
          <w:rFonts w:ascii="Garamond" w:eastAsia="Calibri" w:hAnsi="Garamond"/>
          <w:lang w:val="en-US" w:eastAsia="en-US"/>
        </w:rPr>
        <w:t>i</w:t>
      </w:r>
      <w:r w:rsidR="00804511" w:rsidRPr="002D5E14">
        <w:rPr>
          <w:rFonts w:ascii="Garamond" w:eastAsia="Calibri" w:hAnsi="Garamond"/>
          <w:lang w:val="en-US" w:eastAsia="en-US"/>
        </w:rPr>
        <w:t xml:space="preserve">nstitution in charge of the program, or by the Tax Authority in the case of </w:t>
      </w:r>
      <w:r w:rsidR="00423165">
        <w:rPr>
          <w:rFonts w:ascii="Garamond" w:eastAsia="Calibri" w:hAnsi="Garamond"/>
          <w:lang w:val="en-US" w:eastAsia="en-US"/>
        </w:rPr>
        <w:t>t</w:t>
      </w:r>
      <w:r w:rsidR="00804511" w:rsidRPr="002D5E14">
        <w:rPr>
          <w:rFonts w:ascii="Garamond" w:eastAsia="Calibri" w:hAnsi="Garamond"/>
          <w:lang w:val="en-US" w:eastAsia="en-US"/>
        </w:rPr>
        <w:t>axes</w:t>
      </w:r>
      <w:r w:rsidR="00423165">
        <w:rPr>
          <w:rFonts w:ascii="Garamond" w:eastAsia="Calibri" w:hAnsi="Garamond"/>
          <w:lang w:val="en-US" w:eastAsia="en-US"/>
        </w:rPr>
        <w:t xml:space="preserve"> o</w:t>
      </w:r>
      <w:r w:rsidR="00423165" w:rsidRPr="002D5E14">
        <w:rPr>
          <w:rFonts w:ascii="Garamond" w:eastAsia="Calibri" w:hAnsi="Garamond"/>
          <w:lang w:val="en-US" w:eastAsia="en-US"/>
        </w:rPr>
        <w:t>r by the National Institute of Statistic</w:t>
      </w:r>
      <w:r w:rsidR="00423165">
        <w:rPr>
          <w:rFonts w:ascii="Garamond" w:eastAsia="Calibri" w:hAnsi="Garamond"/>
          <w:lang w:val="en-US" w:eastAsia="en-US"/>
        </w:rPr>
        <w:t>s</w:t>
      </w:r>
      <w:r w:rsidR="00804511" w:rsidRPr="002D5E14">
        <w:rPr>
          <w:rFonts w:ascii="Garamond" w:eastAsia="Calibri" w:hAnsi="Garamond"/>
          <w:lang w:val="en-US" w:eastAsia="en-US"/>
        </w:rPr>
        <w:t>.</w:t>
      </w:r>
    </w:p>
    <w:p w14:paraId="168078BD" w14:textId="77777777" w:rsidR="00804511" w:rsidRPr="002D5E14" w:rsidRDefault="00804511" w:rsidP="00804511">
      <w:pPr>
        <w:pStyle w:val="Prrafodelista"/>
        <w:numPr>
          <w:ilvl w:val="0"/>
          <w:numId w:val="9"/>
        </w:numPr>
        <w:spacing w:after="200" w:line="276" w:lineRule="auto"/>
        <w:rPr>
          <w:rFonts w:ascii="Garamond" w:eastAsia="Calibri" w:hAnsi="Garamond"/>
          <w:lang w:val="en-US" w:eastAsia="en-US"/>
        </w:rPr>
      </w:pPr>
      <w:r w:rsidRPr="002D5E14">
        <w:rPr>
          <w:rFonts w:ascii="Garamond" w:eastAsia="Calibri" w:hAnsi="Garamond"/>
          <w:lang w:val="en-US" w:eastAsia="en-US"/>
        </w:rPr>
        <w:t xml:space="preserve">Total amount according to the survey: this column refers to the </w:t>
      </w:r>
      <w:r w:rsidR="002042CE">
        <w:rPr>
          <w:rFonts w:ascii="Garamond" w:eastAsia="Calibri" w:hAnsi="Garamond"/>
          <w:lang w:val="en-US" w:eastAsia="en-US"/>
        </w:rPr>
        <w:t xml:space="preserve">weighted </w:t>
      </w:r>
      <w:r w:rsidRPr="002D5E14">
        <w:rPr>
          <w:rFonts w:ascii="Garamond" w:eastAsia="Calibri" w:hAnsi="Garamond"/>
          <w:lang w:val="en-US" w:eastAsia="en-US"/>
        </w:rPr>
        <w:t>sum of the amount of all individual benefit</w:t>
      </w:r>
      <w:r w:rsidR="00423165">
        <w:rPr>
          <w:rFonts w:ascii="Garamond" w:eastAsia="Calibri" w:hAnsi="Garamond"/>
          <w:lang w:val="en-US" w:eastAsia="en-US"/>
        </w:rPr>
        <w:t xml:space="preserve">s or </w:t>
      </w:r>
      <w:r w:rsidRPr="002D5E14">
        <w:rPr>
          <w:rFonts w:ascii="Garamond" w:eastAsia="Calibri" w:hAnsi="Garamond"/>
          <w:lang w:val="en-US" w:eastAsia="en-US"/>
        </w:rPr>
        <w:t>tax payed</w:t>
      </w:r>
      <w:r w:rsidR="001F210A">
        <w:rPr>
          <w:rFonts w:ascii="Garamond" w:eastAsia="Calibri" w:hAnsi="Garamond"/>
          <w:lang w:val="en-US" w:eastAsia="en-US"/>
        </w:rPr>
        <w:t xml:space="preserve"> in annual terms</w:t>
      </w:r>
      <w:r w:rsidRPr="002D5E14">
        <w:rPr>
          <w:rFonts w:ascii="Garamond" w:eastAsia="Calibri" w:hAnsi="Garamond"/>
          <w:lang w:val="en-US" w:eastAsia="en-US"/>
        </w:rPr>
        <w:t xml:space="preserve">. For example, the </w:t>
      </w:r>
      <w:r w:rsidR="009E76A6">
        <w:rPr>
          <w:rFonts w:ascii="Garamond" w:eastAsia="Calibri" w:hAnsi="Garamond"/>
          <w:lang w:val="en-US" w:eastAsia="en-US"/>
        </w:rPr>
        <w:t>T</w:t>
      </w:r>
      <w:r w:rsidRPr="002D5E14">
        <w:rPr>
          <w:rFonts w:ascii="Garamond" w:eastAsia="Calibri" w:hAnsi="Garamond"/>
          <w:lang w:val="en-US" w:eastAsia="en-US"/>
        </w:rPr>
        <w:t xml:space="preserve">able </w:t>
      </w:r>
      <w:r w:rsidR="009E76A6">
        <w:rPr>
          <w:rFonts w:ascii="Garamond" w:eastAsia="Calibri" w:hAnsi="Garamond"/>
          <w:lang w:val="en-US" w:eastAsia="en-US"/>
        </w:rPr>
        <w:t>4-1</w:t>
      </w:r>
      <w:r w:rsidR="009E76A6" w:rsidRPr="002D5E14">
        <w:rPr>
          <w:rFonts w:ascii="Garamond" w:eastAsia="Calibri" w:hAnsi="Garamond"/>
          <w:lang w:val="en-US" w:eastAsia="en-US"/>
        </w:rPr>
        <w:t xml:space="preserve"> </w:t>
      </w:r>
      <w:r w:rsidR="009E76A6">
        <w:rPr>
          <w:rFonts w:ascii="Garamond" w:eastAsia="Calibri" w:hAnsi="Garamond"/>
          <w:lang w:val="en-US" w:eastAsia="en-US"/>
        </w:rPr>
        <w:t xml:space="preserve">shows </w:t>
      </w:r>
      <w:r w:rsidRPr="002D5E14">
        <w:rPr>
          <w:rFonts w:ascii="Garamond" w:eastAsia="Calibri" w:hAnsi="Garamond"/>
          <w:lang w:val="en-US" w:eastAsia="en-US"/>
        </w:rPr>
        <w:t>that the sum of all individual benefit</w:t>
      </w:r>
      <w:r w:rsidR="00423165">
        <w:rPr>
          <w:rFonts w:ascii="Garamond" w:eastAsia="Calibri" w:hAnsi="Garamond"/>
          <w:lang w:val="en-US" w:eastAsia="en-US"/>
        </w:rPr>
        <w:t>s</w:t>
      </w:r>
      <w:r w:rsidRPr="002D5E14">
        <w:rPr>
          <w:rFonts w:ascii="Garamond" w:eastAsia="Calibri" w:hAnsi="Garamond"/>
          <w:lang w:val="en-US" w:eastAsia="en-US"/>
        </w:rPr>
        <w:t xml:space="preserve"> is 12 million, i.e. 80 LCU monthly x</w:t>
      </w:r>
      <w:r w:rsidR="00423165">
        <w:rPr>
          <w:rFonts w:ascii="Garamond" w:eastAsia="Calibri" w:hAnsi="Garamond"/>
          <w:lang w:val="en-US" w:eastAsia="en-US"/>
        </w:rPr>
        <w:t xml:space="preserve"> </w:t>
      </w:r>
      <w:r w:rsidRPr="002D5E14">
        <w:rPr>
          <w:rFonts w:ascii="Garamond" w:eastAsia="Calibri" w:hAnsi="Garamond"/>
          <w:lang w:val="en-US" w:eastAsia="en-US"/>
        </w:rPr>
        <w:t xml:space="preserve">12,542 </w:t>
      </w:r>
      <w:proofErr w:type="gramStart"/>
      <w:r w:rsidRPr="002D5E14">
        <w:rPr>
          <w:rFonts w:ascii="Garamond" w:eastAsia="Calibri" w:hAnsi="Garamond"/>
          <w:lang w:val="en-US" w:eastAsia="en-US"/>
        </w:rPr>
        <w:t>beneficiaries</w:t>
      </w:r>
      <w:proofErr w:type="gramEnd"/>
      <w:r w:rsidRPr="002D5E14">
        <w:rPr>
          <w:rFonts w:ascii="Garamond" w:eastAsia="Calibri" w:hAnsi="Garamond"/>
          <w:lang w:val="en-US" w:eastAsia="en-US"/>
        </w:rPr>
        <w:t xml:space="preserve"> x 12 months</w:t>
      </w:r>
      <w:r w:rsidR="001F210A">
        <w:rPr>
          <w:rFonts w:ascii="Garamond" w:eastAsia="Calibri" w:hAnsi="Garamond"/>
          <w:lang w:val="en-US" w:eastAsia="en-US"/>
        </w:rPr>
        <w:t>. It is important to note that in this case we multiply by 12 months because the benefit is received by month and from January to December</w:t>
      </w:r>
      <w:r w:rsidRPr="002D5E14">
        <w:rPr>
          <w:rFonts w:ascii="Garamond" w:eastAsia="Calibri" w:hAnsi="Garamond"/>
          <w:lang w:val="en-US" w:eastAsia="en-US"/>
        </w:rPr>
        <w:t xml:space="preserve">. </w:t>
      </w:r>
      <w:r w:rsidR="001F210A">
        <w:rPr>
          <w:rFonts w:ascii="Garamond" w:eastAsia="Calibri" w:hAnsi="Garamond"/>
          <w:lang w:val="en-US" w:eastAsia="en-US"/>
        </w:rPr>
        <w:t xml:space="preserve">Have in mind that this is not always the case. Some benefits, such as scholarships are received by 10 months instead of 12, for example. </w:t>
      </w:r>
    </w:p>
    <w:p w14:paraId="59A4ADCB" w14:textId="77777777" w:rsidR="00804511" w:rsidRPr="002D5E14" w:rsidRDefault="00804511" w:rsidP="00804511">
      <w:pPr>
        <w:pStyle w:val="Prrafodelista"/>
        <w:numPr>
          <w:ilvl w:val="0"/>
          <w:numId w:val="9"/>
        </w:numPr>
        <w:spacing w:after="200" w:line="276" w:lineRule="auto"/>
        <w:rPr>
          <w:rFonts w:ascii="Garamond" w:eastAsia="Calibri" w:hAnsi="Garamond"/>
          <w:lang w:val="en-US" w:eastAsia="en-US"/>
        </w:rPr>
      </w:pPr>
      <w:r w:rsidRPr="002D5E14">
        <w:rPr>
          <w:rFonts w:ascii="Garamond" w:eastAsia="Calibri" w:hAnsi="Garamond"/>
          <w:lang w:val="en-US" w:eastAsia="en-US"/>
        </w:rPr>
        <w:t>Number of beneficiaries/payers according to administrative accounts: this refers to the number of people or families that</w:t>
      </w:r>
      <w:r w:rsidR="00423165">
        <w:rPr>
          <w:rFonts w:ascii="Garamond" w:eastAsia="Calibri" w:hAnsi="Garamond"/>
          <w:lang w:val="en-US" w:eastAsia="en-US"/>
        </w:rPr>
        <w:t>,</w:t>
      </w:r>
      <w:r w:rsidRPr="002D5E14">
        <w:rPr>
          <w:rFonts w:ascii="Garamond" w:eastAsia="Calibri" w:hAnsi="Garamond"/>
          <w:lang w:val="en-US" w:eastAsia="en-US"/>
        </w:rPr>
        <w:t xml:space="preserve"> </w:t>
      </w:r>
      <w:r w:rsidR="00423165" w:rsidRPr="002D5E14">
        <w:rPr>
          <w:rFonts w:ascii="Garamond" w:eastAsia="Calibri" w:hAnsi="Garamond"/>
          <w:lang w:val="en-US" w:eastAsia="en-US"/>
        </w:rPr>
        <w:t>according to the administrative records</w:t>
      </w:r>
      <w:r w:rsidR="00423165">
        <w:rPr>
          <w:rFonts w:ascii="Garamond" w:eastAsia="Calibri" w:hAnsi="Garamond"/>
          <w:lang w:val="en-US" w:eastAsia="en-US"/>
        </w:rPr>
        <w:t>,</w:t>
      </w:r>
      <w:r w:rsidR="00423165" w:rsidRPr="002D5E14">
        <w:rPr>
          <w:rFonts w:ascii="Garamond" w:eastAsia="Calibri" w:hAnsi="Garamond"/>
          <w:lang w:val="en-US" w:eastAsia="en-US"/>
        </w:rPr>
        <w:t xml:space="preserve"> </w:t>
      </w:r>
      <w:r w:rsidRPr="002D5E14">
        <w:rPr>
          <w:rFonts w:ascii="Garamond" w:eastAsia="Calibri" w:hAnsi="Garamond"/>
          <w:lang w:val="en-US" w:eastAsia="en-US"/>
        </w:rPr>
        <w:t xml:space="preserve">appeared as receiving the benefit or paying the tax. This information is generally published or provided by the </w:t>
      </w:r>
      <w:r w:rsidR="00423165">
        <w:rPr>
          <w:rFonts w:ascii="Garamond" w:eastAsia="Calibri" w:hAnsi="Garamond"/>
          <w:lang w:val="en-US" w:eastAsia="en-US"/>
        </w:rPr>
        <w:t>m</w:t>
      </w:r>
      <w:r w:rsidRPr="002D5E14">
        <w:rPr>
          <w:rFonts w:ascii="Garamond" w:eastAsia="Calibri" w:hAnsi="Garamond"/>
          <w:lang w:val="en-US" w:eastAsia="en-US"/>
        </w:rPr>
        <w:t>inist</w:t>
      </w:r>
      <w:r w:rsidR="00423165">
        <w:rPr>
          <w:rFonts w:ascii="Garamond" w:eastAsia="Calibri" w:hAnsi="Garamond"/>
          <w:lang w:val="en-US" w:eastAsia="en-US"/>
        </w:rPr>
        <w:t>ry</w:t>
      </w:r>
      <w:r w:rsidRPr="002D5E14">
        <w:rPr>
          <w:rFonts w:ascii="Garamond" w:eastAsia="Calibri" w:hAnsi="Garamond"/>
          <w:lang w:val="en-US" w:eastAsia="en-US"/>
        </w:rPr>
        <w:t xml:space="preserve"> or </w:t>
      </w:r>
      <w:r w:rsidR="00423165">
        <w:rPr>
          <w:rFonts w:ascii="Garamond" w:eastAsia="Calibri" w:hAnsi="Garamond"/>
          <w:lang w:val="en-US" w:eastAsia="en-US"/>
        </w:rPr>
        <w:t>i</w:t>
      </w:r>
      <w:r w:rsidRPr="002D5E14">
        <w:rPr>
          <w:rFonts w:ascii="Garamond" w:eastAsia="Calibri" w:hAnsi="Garamond"/>
          <w:lang w:val="en-US" w:eastAsia="en-US"/>
        </w:rPr>
        <w:t>nstitution in charge of the program, by the tax authority in the case of taxes</w:t>
      </w:r>
      <w:r w:rsidR="00423165">
        <w:rPr>
          <w:rFonts w:ascii="Garamond" w:eastAsia="Calibri" w:hAnsi="Garamond"/>
          <w:lang w:val="en-US" w:eastAsia="en-US"/>
        </w:rPr>
        <w:t xml:space="preserve">, </w:t>
      </w:r>
      <w:r w:rsidRPr="002D5E14">
        <w:rPr>
          <w:rFonts w:ascii="Garamond" w:eastAsia="Calibri" w:hAnsi="Garamond"/>
          <w:lang w:val="en-US" w:eastAsia="en-US"/>
        </w:rPr>
        <w:t>the National Institute of Statistic</w:t>
      </w:r>
      <w:r w:rsidR="00423165">
        <w:rPr>
          <w:rFonts w:ascii="Garamond" w:eastAsia="Calibri" w:hAnsi="Garamond"/>
          <w:lang w:val="en-US" w:eastAsia="en-US"/>
        </w:rPr>
        <w:t>s</w:t>
      </w:r>
      <w:r w:rsidRPr="002D5E14">
        <w:rPr>
          <w:rFonts w:ascii="Garamond" w:eastAsia="Calibri" w:hAnsi="Garamond"/>
          <w:lang w:val="en-US" w:eastAsia="en-US"/>
        </w:rPr>
        <w:t xml:space="preserve">, </w:t>
      </w:r>
      <w:r w:rsidR="00423165">
        <w:rPr>
          <w:rFonts w:ascii="Garamond" w:eastAsia="Calibri" w:hAnsi="Garamond"/>
          <w:lang w:val="en-US" w:eastAsia="en-US"/>
        </w:rPr>
        <w:t xml:space="preserve">or </w:t>
      </w:r>
      <w:r w:rsidRPr="002D5E14">
        <w:rPr>
          <w:rFonts w:ascii="Garamond" w:eastAsia="Calibri" w:hAnsi="Garamond"/>
          <w:lang w:val="en-US" w:eastAsia="en-US"/>
        </w:rPr>
        <w:t xml:space="preserve">the National Audit Office. For example, the </w:t>
      </w:r>
      <w:r w:rsidR="009E76A6">
        <w:rPr>
          <w:rFonts w:ascii="Garamond" w:eastAsia="Calibri" w:hAnsi="Garamond"/>
          <w:lang w:val="en-US" w:eastAsia="en-US"/>
        </w:rPr>
        <w:t>T</w:t>
      </w:r>
      <w:r w:rsidRPr="002D5E14">
        <w:rPr>
          <w:rFonts w:ascii="Garamond" w:eastAsia="Calibri" w:hAnsi="Garamond"/>
          <w:lang w:val="en-US" w:eastAsia="en-US"/>
        </w:rPr>
        <w:t>able</w:t>
      </w:r>
      <w:r w:rsidR="009E76A6">
        <w:rPr>
          <w:rFonts w:ascii="Garamond" w:eastAsia="Calibri" w:hAnsi="Garamond"/>
          <w:lang w:val="en-US" w:eastAsia="en-US"/>
        </w:rPr>
        <w:t xml:space="preserve"> 4-1</w:t>
      </w:r>
      <w:r w:rsidRPr="002D5E14">
        <w:rPr>
          <w:rFonts w:ascii="Garamond" w:eastAsia="Calibri" w:hAnsi="Garamond"/>
          <w:lang w:val="en-US" w:eastAsia="en-US"/>
        </w:rPr>
        <w:t xml:space="preserve"> shows that according to the </w:t>
      </w:r>
      <w:r w:rsidR="00423165">
        <w:rPr>
          <w:rFonts w:ascii="Garamond" w:eastAsia="Calibri" w:hAnsi="Garamond"/>
          <w:lang w:val="en-US" w:eastAsia="en-US"/>
        </w:rPr>
        <w:t>m</w:t>
      </w:r>
      <w:r w:rsidRPr="002D5E14">
        <w:rPr>
          <w:rFonts w:ascii="Garamond" w:eastAsia="Calibri" w:hAnsi="Garamond"/>
          <w:lang w:val="en-US" w:eastAsia="en-US"/>
        </w:rPr>
        <w:t xml:space="preserve">inistry in charge of </w:t>
      </w:r>
      <w:r w:rsidR="00761F0A">
        <w:rPr>
          <w:rFonts w:ascii="Garamond" w:eastAsia="Calibri" w:hAnsi="Garamond"/>
          <w:lang w:val="en-US" w:eastAsia="en-US"/>
        </w:rPr>
        <w:t>Guardian Angel</w:t>
      </w:r>
      <w:r w:rsidRPr="002D5E14">
        <w:rPr>
          <w:rFonts w:ascii="Garamond" w:eastAsia="Calibri" w:hAnsi="Garamond"/>
          <w:lang w:val="en-US" w:eastAsia="en-US"/>
        </w:rPr>
        <w:t xml:space="preserve">, the year of the analysis, 16,696 individuals were beneficiaries of the program. </w:t>
      </w:r>
    </w:p>
    <w:p w14:paraId="1DAC3B5C" w14:textId="77777777" w:rsidR="00804511" w:rsidRPr="002D5E14" w:rsidRDefault="00804511" w:rsidP="00804511">
      <w:pPr>
        <w:pStyle w:val="Prrafodelista"/>
        <w:numPr>
          <w:ilvl w:val="0"/>
          <w:numId w:val="9"/>
        </w:numPr>
        <w:spacing w:after="200" w:line="276" w:lineRule="auto"/>
        <w:rPr>
          <w:rFonts w:ascii="Garamond" w:eastAsia="Calibri" w:hAnsi="Garamond"/>
          <w:lang w:val="en-US" w:eastAsia="en-US"/>
        </w:rPr>
      </w:pPr>
      <w:r w:rsidRPr="002D5E14">
        <w:rPr>
          <w:rFonts w:ascii="Garamond" w:eastAsia="Calibri" w:hAnsi="Garamond"/>
          <w:lang w:val="en-US" w:eastAsia="en-US"/>
        </w:rPr>
        <w:t xml:space="preserve">Number of beneficiaries/payers according to the survey: this column refers to the total number of individuals </w:t>
      </w:r>
      <w:r w:rsidR="002042CE">
        <w:rPr>
          <w:rFonts w:ascii="Garamond" w:eastAsia="Calibri" w:hAnsi="Garamond"/>
          <w:lang w:val="en-US" w:eastAsia="en-US"/>
        </w:rPr>
        <w:t xml:space="preserve">(using sample weights) </w:t>
      </w:r>
      <w:r w:rsidRPr="002D5E14">
        <w:rPr>
          <w:rFonts w:ascii="Garamond" w:eastAsia="Calibri" w:hAnsi="Garamond"/>
          <w:lang w:val="en-US" w:eastAsia="en-US"/>
        </w:rPr>
        <w:t xml:space="preserve">who report receiving the benefit or paying taxes in the </w:t>
      </w:r>
      <w:r w:rsidR="00423165">
        <w:rPr>
          <w:rFonts w:ascii="Garamond" w:eastAsia="Calibri" w:hAnsi="Garamond"/>
          <w:lang w:val="en-US" w:eastAsia="en-US"/>
        </w:rPr>
        <w:t xml:space="preserve">household </w:t>
      </w:r>
      <w:r w:rsidRPr="002D5E14">
        <w:rPr>
          <w:rFonts w:ascii="Garamond" w:eastAsia="Calibri" w:hAnsi="Garamond"/>
          <w:lang w:val="en-US" w:eastAsia="en-US"/>
        </w:rPr>
        <w:t>survey</w:t>
      </w:r>
      <w:r w:rsidR="00423165">
        <w:rPr>
          <w:rFonts w:ascii="Garamond" w:eastAsia="Calibri" w:hAnsi="Garamond"/>
          <w:lang w:val="en-US" w:eastAsia="en-US"/>
        </w:rPr>
        <w:t xml:space="preserve">. Alternatively, it can refer to </w:t>
      </w:r>
      <w:r w:rsidRPr="002D5E14">
        <w:rPr>
          <w:rFonts w:ascii="Garamond" w:eastAsia="Calibri" w:hAnsi="Garamond"/>
          <w:lang w:val="en-US" w:eastAsia="en-US"/>
        </w:rPr>
        <w:t>the number of individuals designated as beneficiaries or tax payers in the survey. For example, 12,542 individual</w:t>
      </w:r>
      <w:r w:rsidR="00423165">
        <w:rPr>
          <w:rFonts w:ascii="Garamond" w:eastAsia="Calibri" w:hAnsi="Garamond"/>
          <w:lang w:val="en-US" w:eastAsia="en-US"/>
        </w:rPr>
        <w:t>s</w:t>
      </w:r>
      <w:r w:rsidRPr="002D5E14">
        <w:rPr>
          <w:rFonts w:ascii="Garamond" w:eastAsia="Calibri" w:hAnsi="Garamond"/>
          <w:lang w:val="en-US" w:eastAsia="en-US"/>
        </w:rPr>
        <w:t xml:space="preserve"> report receiving benefits from </w:t>
      </w:r>
      <w:r w:rsidR="00761F0A">
        <w:rPr>
          <w:rFonts w:ascii="Garamond" w:eastAsia="Calibri" w:hAnsi="Garamond"/>
          <w:lang w:val="en-US" w:eastAsia="en-US"/>
        </w:rPr>
        <w:t>Guardian Angel</w:t>
      </w:r>
      <w:r w:rsidR="00800339">
        <w:rPr>
          <w:rFonts w:ascii="Garamond" w:eastAsia="Calibri" w:hAnsi="Garamond"/>
          <w:lang w:val="en-US" w:eastAsia="en-US"/>
        </w:rPr>
        <w:t xml:space="preserve"> in the household survey</w:t>
      </w:r>
      <w:r w:rsidRPr="002D5E14">
        <w:rPr>
          <w:rFonts w:ascii="Garamond" w:eastAsia="Calibri" w:hAnsi="Garamond"/>
          <w:lang w:val="en-US" w:eastAsia="en-US"/>
        </w:rPr>
        <w:t xml:space="preserve">. </w:t>
      </w:r>
    </w:p>
    <w:p w14:paraId="736E0080" w14:textId="77777777" w:rsidR="00804511" w:rsidRPr="002D5E14" w:rsidRDefault="00804511" w:rsidP="00804511">
      <w:pPr>
        <w:pStyle w:val="Prrafodelista"/>
        <w:numPr>
          <w:ilvl w:val="0"/>
          <w:numId w:val="9"/>
        </w:numPr>
        <w:spacing w:after="200" w:line="276" w:lineRule="auto"/>
        <w:rPr>
          <w:rFonts w:ascii="Garamond" w:eastAsia="Calibri" w:hAnsi="Garamond"/>
          <w:lang w:val="en-US" w:eastAsia="en-US"/>
        </w:rPr>
      </w:pPr>
      <w:r w:rsidRPr="002D5E14">
        <w:rPr>
          <w:rFonts w:ascii="Garamond" w:eastAsia="Calibri" w:hAnsi="Garamond"/>
          <w:lang w:val="en-US" w:eastAsia="en-US"/>
        </w:rPr>
        <w:t xml:space="preserve">Benefit according to administrative accounts if applicable: this column refers to the benefit amount that each beneficiary should receive based on the program rules. For example, the rules of </w:t>
      </w:r>
      <w:r w:rsidR="00761F0A">
        <w:rPr>
          <w:rFonts w:ascii="Garamond" w:eastAsia="Calibri" w:hAnsi="Garamond"/>
          <w:lang w:val="en-US" w:eastAsia="en-US"/>
        </w:rPr>
        <w:t>Guardian Angel</w:t>
      </w:r>
      <w:r w:rsidRPr="002D5E14">
        <w:rPr>
          <w:rFonts w:ascii="Garamond" w:eastAsia="Calibri" w:hAnsi="Garamond"/>
          <w:lang w:val="en-US" w:eastAsia="en-US"/>
        </w:rPr>
        <w:t xml:space="preserve"> establish that each beneficiary of the program should receive 80</w:t>
      </w:r>
      <w:r w:rsidR="00423165">
        <w:rPr>
          <w:rFonts w:ascii="Garamond" w:eastAsia="Calibri" w:hAnsi="Garamond"/>
          <w:lang w:val="en-US" w:eastAsia="en-US"/>
        </w:rPr>
        <w:t>$</w:t>
      </w:r>
      <w:r w:rsidRPr="002D5E14">
        <w:rPr>
          <w:rFonts w:ascii="Garamond" w:eastAsia="Calibri" w:hAnsi="Garamond"/>
          <w:lang w:val="en-US" w:eastAsia="en-US"/>
        </w:rPr>
        <w:t xml:space="preserve"> monthly.</w:t>
      </w:r>
    </w:p>
    <w:p w14:paraId="5E1624A9" w14:textId="77777777" w:rsidR="00EF67A2" w:rsidRPr="002D5E14" w:rsidRDefault="00804511" w:rsidP="00804511">
      <w:pPr>
        <w:pStyle w:val="Prrafodelista"/>
        <w:numPr>
          <w:ilvl w:val="0"/>
          <w:numId w:val="9"/>
        </w:numPr>
        <w:spacing w:after="200" w:line="276" w:lineRule="auto"/>
        <w:rPr>
          <w:rFonts w:ascii="Garamond" w:eastAsia="Calibri" w:hAnsi="Garamond"/>
          <w:lang w:val="en-US" w:eastAsia="en-US"/>
        </w:rPr>
      </w:pPr>
      <w:r w:rsidRPr="002D5E14">
        <w:rPr>
          <w:rFonts w:ascii="Garamond" w:eastAsia="Calibri" w:hAnsi="Garamond"/>
          <w:lang w:val="en-US" w:eastAsia="en-US"/>
        </w:rPr>
        <w:t>Benefit reported in the survey if applicable: this column refers to the benefit amount reported in the survey</w:t>
      </w:r>
      <w:r w:rsidR="003A2485">
        <w:rPr>
          <w:rFonts w:ascii="Garamond" w:eastAsia="Calibri" w:hAnsi="Garamond"/>
          <w:lang w:val="en-US" w:eastAsia="en-US"/>
        </w:rPr>
        <w:t xml:space="preserve">. Alternatively, it can refer to </w:t>
      </w:r>
      <w:r w:rsidR="003A2485" w:rsidRPr="002D5E14">
        <w:rPr>
          <w:rFonts w:ascii="Garamond" w:eastAsia="Calibri" w:hAnsi="Garamond"/>
          <w:lang w:val="en-US" w:eastAsia="en-US"/>
        </w:rPr>
        <w:t xml:space="preserve">the </w:t>
      </w:r>
      <w:r w:rsidR="003A2485">
        <w:rPr>
          <w:rFonts w:ascii="Garamond" w:eastAsia="Calibri" w:hAnsi="Garamond"/>
          <w:lang w:val="en-US" w:eastAsia="en-US"/>
        </w:rPr>
        <w:t>benefit amount</w:t>
      </w:r>
      <w:r w:rsidR="003A2485" w:rsidRPr="002D5E14">
        <w:rPr>
          <w:rFonts w:ascii="Garamond" w:eastAsia="Calibri" w:hAnsi="Garamond"/>
          <w:lang w:val="en-US" w:eastAsia="en-US"/>
        </w:rPr>
        <w:t xml:space="preserve"> </w:t>
      </w:r>
      <w:r w:rsidR="003A2485">
        <w:rPr>
          <w:rFonts w:ascii="Garamond" w:eastAsia="Calibri" w:hAnsi="Garamond"/>
          <w:lang w:val="en-US" w:eastAsia="en-US"/>
        </w:rPr>
        <w:t>imputed in</w:t>
      </w:r>
      <w:r w:rsidR="003A2485" w:rsidRPr="002D5E14">
        <w:rPr>
          <w:rFonts w:ascii="Garamond" w:eastAsia="Calibri" w:hAnsi="Garamond"/>
          <w:lang w:val="en-US" w:eastAsia="en-US"/>
        </w:rPr>
        <w:t xml:space="preserve"> the survey</w:t>
      </w:r>
      <w:r w:rsidRPr="002D5E14">
        <w:rPr>
          <w:rFonts w:ascii="Garamond" w:eastAsia="Calibri" w:hAnsi="Garamond"/>
          <w:lang w:val="en-US" w:eastAsia="en-US"/>
        </w:rPr>
        <w:t>. For example, every individual who report</w:t>
      </w:r>
      <w:r w:rsidR="00423165">
        <w:rPr>
          <w:rFonts w:ascii="Garamond" w:eastAsia="Calibri" w:hAnsi="Garamond"/>
          <w:lang w:val="en-US" w:eastAsia="en-US"/>
        </w:rPr>
        <w:t>ed</w:t>
      </w:r>
      <w:r w:rsidRPr="002D5E14">
        <w:rPr>
          <w:rFonts w:ascii="Garamond" w:eastAsia="Calibri" w:hAnsi="Garamond"/>
          <w:lang w:val="en-US" w:eastAsia="en-US"/>
        </w:rPr>
        <w:t xml:space="preserve"> being a beneficiary of </w:t>
      </w:r>
      <w:r w:rsidR="00761F0A">
        <w:rPr>
          <w:rFonts w:ascii="Garamond" w:eastAsia="Calibri" w:hAnsi="Garamond"/>
          <w:lang w:val="en-US" w:eastAsia="en-US"/>
        </w:rPr>
        <w:t>Guardian Angel</w:t>
      </w:r>
      <w:r w:rsidRPr="002D5E14">
        <w:rPr>
          <w:rFonts w:ascii="Garamond" w:eastAsia="Calibri" w:hAnsi="Garamond"/>
          <w:lang w:val="en-US" w:eastAsia="en-US"/>
        </w:rPr>
        <w:t xml:space="preserve"> report</w:t>
      </w:r>
      <w:r w:rsidR="00423165">
        <w:rPr>
          <w:rFonts w:ascii="Garamond" w:eastAsia="Calibri" w:hAnsi="Garamond"/>
          <w:lang w:val="en-US" w:eastAsia="en-US"/>
        </w:rPr>
        <w:t>ed</w:t>
      </w:r>
      <w:r w:rsidRPr="002D5E14">
        <w:rPr>
          <w:rFonts w:ascii="Garamond" w:eastAsia="Calibri" w:hAnsi="Garamond"/>
          <w:lang w:val="en-US" w:eastAsia="en-US"/>
        </w:rPr>
        <w:t xml:space="preserve"> receiving a benefit of 80 monthly.</w:t>
      </w:r>
    </w:p>
    <w:p w14:paraId="12895278" w14:textId="77777777" w:rsidR="005B0F5E" w:rsidRPr="002D5E14" w:rsidRDefault="004A71AE" w:rsidP="002474B9">
      <w:pPr>
        <w:spacing w:after="200" w:line="276" w:lineRule="auto"/>
        <w:ind w:left="720"/>
        <w:contextualSpacing/>
        <w:rPr>
          <w:rFonts w:ascii="Garamond" w:eastAsia="Calibri" w:hAnsi="Garamond"/>
          <w:lang w:val="en-US" w:eastAsia="en-US"/>
        </w:rPr>
      </w:pPr>
      <w:r>
        <w:rPr>
          <w:rFonts w:ascii="Garamond" w:eastAsia="Calibri" w:hAnsi="Garamond"/>
          <w:lang w:val="en-US" w:eastAsia="en-US"/>
        </w:rPr>
        <w:lastRenderedPageBreak/>
        <w:t xml:space="preserve">When administrative data is </w:t>
      </w:r>
      <w:r w:rsidR="00B45B4C">
        <w:rPr>
          <w:rFonts w:ascii="Garamond" w:eastAsia="Calibri" w:hAnsi="Garamond"/>
          <w:lang w:val="en-US" w:eastAsia="en-US"/>
        </w:rPr>
        <w:t xml:space="preserve">judged to be </w:t>
      </w:r>
      <w:r>
        <w:rPr>
          <w:rFonts w:ascii="Garamond" w:eastAsia="Calibri" w:hAnsi="Garamond"/>
          <w:lang w:val="en-US" w:eastAsia="en-US"/>
        </w:rPr>
        <w:t>reliable</w:t>
      </w:r>
      <w:r w:rsidR="00B45B4C">
        <w:rPr>
          <w:rFonts w:ascii="Garamond" w:eastAsia="Calibri" w:hAnsi="Garamond"/>
          <w:lang w:val="en-US" w:eastAsia="en-US"/>
        </w:rPr>
        <w:t xml:space="preserve"> and judged to reflect the </w:t>
      </w:r>
      <w:r w:rsidR="00B45B4C" w:rsidRPr="00332BD5">
        <w:rPr>
          <w:rFonts w:ascii="Garamond" w:eastAsia="Calibri" w:hAnsi="Garamond"/>
          <w:i/>
          <w:lang w:val="en-US" w:eastAsia="en-US"/>
        </w:rPr>
        <w:t>de facto</w:t>
      </w:r>
      <w:r w:rsidR="00B45B4C">
        <w:rPr>
          <w:rFonts w:ascii="Garamond" w:eastAsia="Calibri" w:hAnsi="Garamond"/>
          <w:lang w:val="en-US" w:eastAsia="en-US"/>
        </w:rPr>
        <w:t>, on-the-ground delivery of the fiscal item in question</w:t>
      </w:r>
      <w:r>
        <w:rPr>
          <w:rFonts w:ascii="Garamond" w:eastAsia="Calibri" w:hAnsi="Garamond"/>
          <w:lang w:val="en-US" w:eastAsia="en-US"/>
        </w:rPr>
        <w:t>, t</w:t>
      </w:r>
      <w:r w:rsidR="00804D3F" w:rsidRPr="002D5E14">
        <w:rPr>
          <w:rFonts w:ascii="Garamond" w:eastAsia="Calibri" w:hAnsi="Garamond"/>
          <w:lang w:val="en-US" w:eastAsia="en-US"/>
        </w:rPr>
        <w:t xml:space="preserve">he information collected in this section will be useful for: </w:t>
      </w:r>
      <w:r w:rsidR="007C74EF">
        <w:rPr>
          <w:rFonts w:ascii="Garamond" w:eastAsia="Calibri" w:hAnsi="Garamond"/>
          <w:lang w:val="en-US" w:eastAsia="en-US"/>
        </w:rPr>
        <w:t>A</w:t>
      </w:r>
      <w:r w:rsidR="00804D3F" w:rsidRPr="002D5E14">
        <w:rPr>
          <w:rFonts w:ascii="Garamond" w:eastAsia="Calibri" w:hAnsi="Garamond"/>
          <w:lang w:val="en-US" w:eastAsia="en-US"/>
        </w:rPr>
        <w:t>) identifying the fiscal interventions to be included in the analysis</w:t>
      </w:r>
      <w:r w:rsidR="007C74EF">
        <w:rPr>
          <w:rFonts w:ascii="Garamond" w:eastAsia="Calibri" w:hAnsi="Garamond"/>
          <w:lang w:val="en-US" w:eastAsia="en-US"/>
        </w:rPr>
        <w:t>;</w:t>
      </w:r>
      <w:r w:rsidR="00804D3F" w:rsidRPr="002D5E14">
        <w:rPr>
          <w:rFonts w:ascii="Garamond" w:eastAsia="Calibri" w:hAnsi="Garamond"/>
          <w:lang w:val="en-US" w:eastAsia="en-US"/>
        </w:rPr>
        <w:t xml:space="preserve"> </w:t>
      </w:r>
      <w:r w:rsidR="007C74EF">
        <w:rPr>
          <w:rFonts w:ascii="Garamond" w:eastAsia="Calibri" w:hAnsi="Garamond"/>
          <w:lang w:val="en-US" w:eastAsia="en-US"/>
        </w:rPr>
        <w:t>B</w:t>
      </w:r>
      <w:r w:rsidR="00804D3F" w:rsidRPr="002D5E14">
        <w:rPr>
          <w:rFonts w:ascii="Garamond" w:eastAsia="Calibri" w:hAnsi="Garamond"/>
          <w:lang w:val="en-US" w:eastAsia="en-US"/>
        </w:rPr>
        <w:t>) assessing whether you can trust the information reported in the survey for a particular fiscal intervention</w:t>
      </w:r>
      <w:r w:rsidR="007C74EF">
        <w:rPr>
          <w:rFonts w:ascii="Garamond" w:eastAsia="Calibri" w:hAnsi="Garamond"/>
          <w:lang w:val="en-US" w:eastAsia="en-US"/>
        </w:rPr>
        <w:t>;</w:t>
      </w:r>
      <w:r w:rsidR="00804D3F" w:rsidRPr="002D5E14">
        <w:rPr>
          <w:rFonts w:ascii="Garamond" w:eastAsia="Calibri" w:hAnsi="Garamond"/>
          <w:lang w:val="en-US" w:eastAsia="en-US"/>
        </w:rPr>
        <w:t xml:space="preserve"> </w:t>
      </w:r>
      <w:r w:rsidR="007C74EF">
        <w:rPr>
          <w:rFonts w:ascii="Garamond" w:eastAsia="Calibri" w:hAnsi="Garamond"/>
          <w:lang w:val="en-US" w:eastAsia="en-US"/>
        </w:rPr>
        <w:t>C</w:t>
      </w:r>
      <w:r w:rsidR="00804D3F" w:rsidRPr="002D5E14">
        <w:rPr>
          <w:rFonts w:ascii="Garamond" w:eastAsia="Calibri" w:hAnsi="Garamond"/>
          <w:lang w:val="en-US" w:eastAsia="en-US"/>
        </w:rPr>
        <w:t>) knowing how many beneficiaries need to be simulated in the survey for both cases when the survey does not report who are the beneficiaries and when the number of beneficiaries reported in the survey are fewer than the number of beneficiaries who really are receiving the benefit</w:t>
      </w:r>
      <w:r w:rsidR="007C74EF">
        <w:rPr>
          <w:rFonts w:ascii="Garamond" w:eastAsia="Calibri" w:hAnsi="Garamond"/>
          <w:lang w:val="en-US" w:eastAsia="en-US"/>
        </w:rPr>
        <w:t>; and D</w:t>
      </w:r>
      <w:r w:rsidR="00A3163D" w:rsidRPr="002D5E14">
        <w:rPr>
          <w:rFonts w:ascii="Garamond" w:eastAsia="Calibri" w:hAnsi="Garamond"/>
          <w:lang w:val="en-US" w:eastAsia="en-US"/>
        </w:rPr>
        <w:t>)</w:t>
      </w:r>
      <w:r w:rsidR="007C74EF">
        <w:rPr>
          <w:rFonts w:ascii="Garamond" w:eastAsia="Calibri" w:hAnsi="Garamond"/>
          <w:lang w:val="en-US" w:eastAsia="en-US"/>
        </w:rPr>
        <w:t xml:space="preserve"> </w:t>
      </w:r>
      <w:r w:rsidR="00A3163D" w:rsidRPr="002D5E14">
        <w:rPr>
          <w:rFonts w:ascii="Garamond" w:eastAsia="Calibri" w:hAnsi="Garamond"/>
          <w:lang w:val="en-US" w:eastAsia="en-US"/>
        </w:rPr>
        <w:t>check</w:t>
      </w:r>
      <w:r w:rsidR="007C74EF">
        <w:rPr>
          <w:rFonts w:ascii="Garamond" w:eastAsia="Calibri" w:hAnsi="Garamond"/>
          <w:lang w:val="en-US" w:eastAsia="en-US"/>
        </w:rPr>
        <w:t>ing</w:t>
      </w:r>
      <w:r w:rsidR="00A3163D" w:rsidRPr="002D5E14">
        <w:rPr>
          <w:rFonts w:ascii="Garamond" w:eastAsia="Calibri" w:hAnsi="Garamond"/>
          <w:lang w:val="en-US" w:eastAsia="en-US"/>
        </w:rPr>
        <w:t xml:space="preserve"> consistency between the survey and administrative data in order to assess if the allocation of a particular fiscal intervention needs to be adjusted. </w:t>
      </w:r>
      <w:r w:rsidR="00804D3F" w:rsidRPr="002D5E14">
        <w:rPr>
          <w:rFonts w:ascii="Garamond" w:eastAsia="Calibri" w:hAnsi="Garamond"/>
          <w:lang w:val="en-US" w:eastAsia="en-US"/>
        </w:rPr>
        <w:t xml:space="preserve">   </w:t>
      </w:r>
    </w:p>
    <w:p w14:paraId="392D8EB9" w14:textId="77777777" w:rsidR="00BA1DDE" w:rsidRPr="002D5E14" w:rsidRDefault="00BA1DDE" w:rsidP="002474B9">
      <w:pPr>
        <w:spacing w:after="200" w:line="276" w:lineRule="auto"/>
        <w:ind w:left="720"/>
        <w:contextualSpacing/>
        <w:rPr>
          <w:rFonts w:ascii="Garamond" w:eastAsia="Calibri" w:hAnsi="Garamond"/>
          <w:lang w:val="en-US" w:eastAsia="en-US"/>
        </w:rPr>
      </w:pPr>
    </w:p>
    <w:p w14:paraId="23C933D6" w14:textId="77777777" w:rsidR="00C846EE" w:rsidRPr="00C979D6" w:rsidRDefault="007C74EF" w:rsidP="00FC6910">
      <w:pPr>
        <w:pStyle w:val="Prrafodelista"/>
        <w:numPr>
          <w:ilvl w:val="0"/>
          <w:numId w:val="11"/>
        </w:numPr>
        <w:spacing w:line="276" w:lineRule="auto"/>
        <w:jc w:val="both"/>
        <w:rPr>
          <w:rFonts w:ascii="Garamond" w:eastAsia="Times New Roman" w:hAnsi="Garamond"/>
          <w:iCs/>
          <w:color w:val="000000"/>
        </w:rPr>
      </w:pPr>
      <w:r>
        <w:rPr>
          <w:rFonts w:ascii="Garamond" w:eastAsia="Calibri" w:hAnsi="Garamond"/>
          <w:lang w:val="en-US" w:eastAsia="ja-JP"/>
        </w:rPr>
        <w:t>The second component is d</w:t>
      </w:r>
      <w:r w:rsidR="00C979D6" w:rsidRPr="00C979D6">
        <w:rPr>
          <w:rFonts w:ascii="Garamond" w:eastAsia="Calibri" w:hAnsi="Garamond"/>
          <w:lang w:val="en-US" w:eastAsia="ja-JP"/>
        </w:rPr>
        <w:t>etailed description</w:t>
      </w:r>
      <w:r>
        <w:rPr>
          <w:rFonts w:ascii="Garamond" w:eastAsia="Calibri" w:hAnsi="Garamond"/>
          <w:lang w:val="en-US" w:eastAsia="ja-JP"/>
        </w:rPr>
        <w:t>s</w:t>
      </w:r>
      <w:r w:rsidR="00C979D6" w:rsidRPr="00C979D6">
        <w:rPr>
          <w:rFonts w:ascii="Garamond" w:eastAsia="Calibri" w:hAnsi="Garamond"/>
          <w:lang w:val="en-US" w:eastAsia="ja-JP"/>
        </w:rPr>
        <w:t xml:space="preserve"> of each fiscal intervention. This information is necess</w:t>
      </w:r>
      <w:r>
        <w:rPr>
          <w:rFonts w:ascii="Garamond" w:eastAsia="Calibri" w:hAnsi="Garamond"/>
          <w:lang w:val="en-US" w:eastAsia="ja-JP"/>
        </w:rPr>
        <w:t>ary</w:t>
      </w:r>
      <w:r w:rsidR="00C979D6" w:rsidRPr="00C979D6">
        <w:rPr>
          <w:rFonts w:ascii="Garamond" w:eastAsia="Calibri" w:hAnsi="Garamond"/>
          <w:lang w:val="en-US" w:eastAsia="ja-JP"/>
        </w:rPr>
        <w:t xml:space="preserve"> for the fiscal interventions that will be allocated by using the simulation method and desirable for those that will be allocated by applying any other allocation method. The information needed by category of fiscal intervention is the following:</w:t>
      </w:r>
    </w:p>
    <w:p w14:paraId="78D67068" w14:textId="77777777" w:rsidR="00C979D6" w:rsidRPr="00C979D6" w:rsidRDefault="00C979D6" w:rsidP="00C979D6">
      <w:pPr>
        <w:pStyle w:val="Prrafodelista"/>
        <w:jc w:val="both"/>
        <w:rPr>
          <w:rFonts w:ascii="Garamond" w:eastAsia="Times New Roman" w:hAnsi="Garamond"/>
          <w:iCs/>
          <w:color w:val="000000"/>
        </w:rPr>
      </w:pPr>
    </w:p>
    <w:p w14:paraId="55A3338D" w14:textId="77777777" w:rsidR="00CC02FF" w:rsidRPr="002D5E14" w:rsidRDefault="0044316D" w:rsidP="00CC02FF">
      <w:pPr>
        <w:pStyle w:val="Prrafodelista"/>
        <w:numPr>
          <w:ilvl w:val="2"/>
          <w:numId w:val="11"/>
        </w:numPr>
        <w:jc w:val="both"/>
        <w:rPr>
          <w:rFonts w:ascii="Garamond" w:eastAsia="Times New Roman" w:hAnsi="Garamond"/>
          <w:iCs/>
          <w:color w:val="000000"/>
        </w:rPr>
      </w:pPr>
      <w:r w:rsidRPr="002D5E14">
        <w:rPr>
          <w:rFonts w:ascii="Garamond" w:eastAsia="Calibri" w:hAnsi="Garamond"/>
          <w:lang w:val="en-US" w:eastAsia="ja-JP"/>
        </w:rPr>
        <w:t xml:space="preserve"> </w:t>
      </w:r>
      <w:r w:rsidR="000179C5" w:rsidRPr="002D5E14">
        <w:rPr>
          <w:rFonts w:ascii="Garamond" w:eastAsia="Calibri" w:hAnsi="Garamond"/>
          <w:lang w:val="en-US" w:eastAsia="ja-JP"/>
        </w:rPr>
        <w:t>D</w:t>
      </w:r>
      <w:r w:rsidRPr="002D5E14">
        <w:rPr>
          <w:rFonts w:ascii="Garamond" w:eastAsia="Calibri" w:hAnsi="Garamond"/>
          <w:lang w:val="en-US" w:eastAsia="ja-JP"/>
        </w:rPr>
        <w:t xml:space="preserve">irect </w:t>
      </w:r>
      <w:r w:rsidR="000179C5" w:rsidRPr="002D5E14">
        <w:rPr>
          <w:rFonts w:ascii="Garamond" w:eastAsia="Calibri" w:hAnsi="Garamond"/>
          <w:lang w:val="en-US" w:eastAsia="ja-JP"/>
        </w:rPr>
        <w:t>taxes</w:t>
      </w:r>
    </w:p>
    <w:p w14:paraId="70FD861B" w14:textId="77777777" w:rsidR="0044316D" w:rsidRPr="002D5E14" w:rsidRDefault="00972D24" w:rsidP="0044316D">
      <w:pPr>
        <w:pStyle w:val="Prrafodelista"/>
        <w:numPr>
          <w:ilvl w:val="3"/>
          <w:numId w:val="11"/>
        </w:numPr>
        <w:jc w:val="both"/>
        <w:rPr>
          <w:rFonts w:ascii="Garamond" w:eastAsia="Times New Roman" w:hAnsi="Garamond"/>
          <w:iCs/>
          <w:color w:val="000000"/>
        </w:rPr>
      </w:pPr>
      <w:r>
        <w:rPr>
          <w:rFonts w:ascii="Garamond" w:eastAsia="Calibri" w:hAnsi="Garamond"/>
          <w:lang w:val="en-US" w:eastAsia="ja-JP"/>
        </w:rPr>
        <w:t>A l</w:t>
      </w:r>
      <w:r w:rsidR="00C979D6">
        <w:rPr>
          <w:rFonts w:ascii="Garamond" w:eastAsia="Calibri" w:hAnsi="Garamond"/>
          <w:lang w:val="en-US" w:eastAsia="ja-JP"/>
        </w:rPr>
        <w:t>ist of e</w:t>
      </w:r>
      <w:r w:rsidR="00FE67A1" w:rsidRPr="002D5E14">
        <w:rPr>
          <w:rFonts w:ascii="Garamond" w:eastAsia="Calibri" w:hAnsi="Garamond"/>
          <w:lang w:val="en-US" w:eastAsia="ja-JP"/>
        </w:rPr>
        <w:t>xisting</w:t>
      </w:r>
      <w:r w:rsidR="0044316D" w:rsidRPr="002D5E14">
        <w:rPr>
          <w:rFonts w:ascii="Garamond" w:eastAsia="Calibri" w:hAnsi="Garamond"/>
          <w:lang w:val="en-US" w:eastAsia="ja-JP"/>
        </w:rPr>
        <w:t xml:space="preserve"> tax regimes</w:t>
      </w:r>
      <w:r>
        <w:rPr>
          <w:rFonts w:ascii="Garamond" w:eastAsia="Calibri" w:hAnsi="Garamond"/>
          <w:lang w:val="en-US" w:eastAsia="ja-JP"/>
        </w:rPr>
        <w:t>.</w:t>
      </w:r>
    </w:p>
    <w:p w14:paraId="490EAA80" w14:textId="77777777" w:rsidR="0044316D" w:rsidRPr="002D5E14" w:rsidRDefault="0044316D" w:rsidP="0044316D">
      <w:pPr>
        <w:pStyle w:val="Prrafodelista"/>
        <w:numPr>
          <w:ilvl w:val="3"/>
          <w:numId w:val="11"/>
        </w:numPr>
        <w:jc w:val="both"/>
        <w:rPr>
          <w:rFonts w:ascii="Garamond" w:eastAsia="Times New Roman" w:hAnsi="Garamond"/>
          <w:iCs/>
          <w:color w:val="000000"/>
        </w:rPr>
      </w:pPr>
      <w:r w:rsidRPr="002D5E14">
        <w:rPr>
          <w:rFonts w:ascii="Garamond" w:eastAsia="Calibri" w:hAnsi="Garamond"/>
          <w:lang w:val="en-US" w:eastAsia="ja-JP"/>
        </w:rPr>
        <w:t xml:space="preserve">Whether an individual can choose a specific tax regime or the individual is </w:t>
      </w:r>
      <w:r w:rsidR="00972D24">
        <w:rPr>
          <w:rFonts w:ascii="Garamond" w:eastAsia="Calibri" w:hAnsi="Garamond"/>
          <w:lang w:val="en-US" w:eastAsia="ja-JP"/>
        </w:rPr>
        <w:t>obliged</w:t>
      </w:r>
      <w:r w:rsidR="00972D24" w:rsidRPr="002D5E14">
        <w:rPr>
          <w:rFonts w:ascii="Garamond" w:eastAsia="Calibri" w:hAnsi="Garamond"/>
          <w:lang w:val="en-US" w:eastAsia="ja-JP"/>
        </w:rPr>
        <w:t xml:space="preserve"> </w:t>
      </w:r>
      <w:r w:rsidRPr="002D5E14">
        <w:rPr>
          <w:rFonts w:ascii="Garamond" w:eastAsia="Calibri" w:hAnsi="Garamond"/>
          <w:lang w:val="en-US" w:eastAsia="ja-JP"/>
        </w:rPr>
        <w:t>to pay under a specific tax regime.</w:t>
      </w:r>
    </w:p>
    <w:p w14:paraId="52AFD188" w14:textId="77777777" w:rsidR="0044316D" w:rsidRPr="002D5E14" w:rsidRDefault="00263A18" w:rsidP="0044316D">
      <w:pPr>
        <w:pStyle w:val="Prrafodelista"/>
        <w:numPr>
          <w:ilvl w:val="3"/>
          <w:numId w:val="11"/>
        </w:numPr>
        <w:jc w:val="both"/>
        <w:rPr>
          <w:rFonts w:ascii="Garamond" w:eastAsia="Times New Roman" w:hAnsi="Garamond"/>
          <w:iCs/>
          <w:color w:val="000000"/>
        </w:rPr>
      </w:pPr>
      <w:r>
        <w:rPr>
          <w:rFonts w:ascii="Garamond" w:eastAsia="Calibri" w:hAnsi="Garamond"/>
          <w:lang w:eastAsia="ja-JP"/>
        </w:rPr>
        <w:t>The c</w:t>
      </w:r>
      <w:r w:rsidR="0044316D" w:rsidRPr="002D5E14">
        <w:rPr>
          <w:rFonts w:ascii="Garamond" w:eastAsia="Calibri" w:hAnsi="Garamond"/>
          <w:lang w:eastAsia="ja-JP"/>
        </w:rPr>
        <w:t xml:space="preserve">haracteristics </w:t>
      </w:r>
      <w:r w:rsidR="00CD3699">
        <w:rPr>
          <w:rFonts w:ascii="Garamond" w:eastAsia="Calibri" w:hAnsi="Garamond"/>
          <w:lang w:eastAsia="ja-JP"/>
        </w:rPr>
        <w:t>that must be met</w:t>
      </w:r>
      <w:r>
        <w:rPr>
          <w:rFonts w:ascii="Garamond" w:eastAsia="Calibri" w:hAnsi="Garamond"/>
          <w:lang w:eastAsia="ja-JP"/>
        </w:rPr>
        <w:t xml:space="preserve"> </w:t>
      </w:r>
      <w:r w:rsidR="00CD3699">
        <w:rPr>
          <w:rFonts w:ascii="Garamond" w:eastAsia="Calibri" w:hAnsi="Garamond"/>
          <w:lang w:eastAsia="ja-JP"/>
        </w:rPr>
        <w:t xml:space="preserve">for someone </w:t>
      </w:r>
      <w:r>
        <w:rPr>
          <w:rFonts w:ascii="Garamond" w:eastAsia="Calibri" w:hAnsi="Garamond"/>
          <w:lang w:eastAsia="ja-JP"/>
        </w:rPr>
        <w:t>to fall</w:t>
      </w:r>
      <w:r w:rsidR="0044316D" w:rsidRPr="002D5E14">
        <w:rPr>
          <w:rFonts w:ascii="Garamond" w:eastAsia="Calibri" w:hAnsi="Garamond"/>
          <w:lang w:eastAsia="ja-JP"/>
        </w:rPr>
        <w:t xml:space="preserve"> </w:t>
      </w:r>
      <w:r w:rsidR="00E41873" w:rsidRPr="002D5E14">
        <w:rPr>
          <w:rFonts w:ascii="Garamond" w:eastAsia="Calibri" w:hAnsi="Garamond"/>
          <w:lang w:eastAsia="ja-JP"/>
        </w:rPr>
        <w:t xml:space="preserve">under a specific tax regime. </w:t>
      </w:r>
    </w:p>
    <w:p w14:paraId="3E0630DD" w14:textId="77777777" w:rsidR="000179C5" w:rsidRPr="002D5E14" w:rsidRDefault="000179C5" w:rsidP="000179C5">
      <w:pPr>
        <w:pStyle w:val="Prrafodelista"/>
        <w:numPr>
          <w:ilvl w:val="3"/>
          <w:numId w:val="11"/>
        </w:numPr>
        <w:jc w:val="both"/>
        <w:rPr>
          <w:rFonts w:ascii="Garamond" w:eastAsia="Times New Roman" w:hAnsi="Garamond"/>
          <w:iCs/>
          <w:color w:val="000000"/>
        </w:rPr>
      </w:pPr>
      <w:r w:rsidRPr="002D5E14">
        <w:rPr>
          <w:rFonts w:ascii="Garamond" w:eastAsia="Calibri" w:hAnsi="Garamond"/>
          <w:lang w:eastAsia="ja-JP"/>
        </w:rPr>
        <w:t>Income tax rates and bands</w:t>
      </w:r>
      <w:r w:rsidR="00972D24">
        <w:rPr>
          <w:rFonts w:ascii="Garamond" w:eastAsia="Calibri" w:hAnsi="Garamond"/>
          <w:lang w:eastAsia="ja-JP"/>
        </w:rPr>
        <w:t>,</w:t>
      </w:r>
      <w:r w:rsidRPr="002D5E14">
        <w:rPr>
          <w:rFonts w:ascii="Garamond" w:eastAsia="Calibri" w:hAnsi="Garamond"/>
          <w:lang w:eastAsia="ja-JP"/>
        </w:rPr>
        <w:t xml:space="preserve"> and existing allowances by tax regime are necessities. </w:t>
      </w:r>
    </w:p>
    <w:p w14:paraId="0E8D5BB0" w14:textId="77777777" w:rsidR="00EB6B0F" w:rsidRPr="002D21F5" w:rsidRDefault="00EB6B0F" w:rsidP="000179C5">
      <w:pPr>
        <w:pStyle w:val="Prrafodelista"/>
        <w:numPr>
          <w:ilvl w:val="3"/>
          <w:numId w:val="11"/>
        </w:numPr>
        <w:jc w:val="both"/>
        <w:rPr>
          <w:rFonts w:ascii="Garamond" w:eastAsia="Times New Roman" w:hAnsi="Garamond"/>
          <w:iCs/>
          <w:color w:val="000000"/>
        </w:rPr>
      </w:pPr>
      <w:r w:rsidRPr="002D5E14">
        <w:rPr>
          <w:rFonts w:ascii="Garamond" w:eastAsia="Calibri" w:hAnsi="Garamond"/>
          <w:lang w:eastAsia="ja-JP"/>
        </w:rPr>
        <w:t>Information on tax evasion</w:t>
      </w:r>
      <w:r w:rsidR="00972D24">
        <w:rPr>
          <w:rFonts w:ascii="Garamond" w:eastAsia="Calibri" w:hAnsi="Garamond"/>
          <w:lang w:eastAsia="ja-JP"/>
        </w:rPr>
        <w:t>, such as</w:t>
      </w:r>
      <w:r w:rsidRPr="002D5E14">
        <w:rPr>
          <w:rFonts w:ascii="Garamond" w:eastAsia="Calibri" w:hAnsi="Garamond"/>
          <w:lang w:eastAsia="ja-JP"/>
        </w:rPr>
        <w:t xml:space="preserve"> the characteristics of individuals who do not pay taxes.</w:t>
      </w:r>
      <w:r w:rsidR="00761F0A">
        <w:rPr>
          <w:rFonts w:ascii="Garamond" w:eastAsia="Calibri" w:hAnsi="Garamond"/>
          <w:lang w:eastAsia="ja-JP"/>
        </w:rPr>
        <w:t xml:space="preserve"> For example, </w:t>
      </w:r>
      <w:r w:rsidR="0007594E">
        <w:rPr>
          <w:rFonts w:ascii="Garamond" w:eastAsia="Calibri" w:hAnsi="Garamond"/>
          <w:lang w:eastAsia="ja-JP"/>
        </w:rPr>
        <w:t xml:space="preserve">one common characteristic of individuals </w:t>
      </w:r>
      <w:r w:rsidR="0007594E" w:rsidRPr="002D5E14">
        <w:rPr>
          <w:rFonts w:ascii="Garamond" w:eastAsia="Calibri" w:hAnsi="Garamond"/>
          <w:lang w:eastAsia="ja-JP"/>
        </w:rPr>
        <w:t>who do not pay taxes</w:t>
      </w:r>
      <w:r w:rsidR="0007594E">
        <w:rPr>
          <w:rFonts w:ascii="Garamond" w:eastAsia="Calibri" w:hAnsi="Garamond"/>
          <w:lang w:eastAsia="ja-JP"/>
        </w:rPr>
        <w:t xml:space="preserve"> is that they work in the informal sector. </w:t>
      </w:r>
    </w:p>
    <w:p w14:paraId="60033AC3" w14:textId="77777777" w:rsidR="00EB5DBF" w:rsidRPr="002D5E14" w:rsidRDefault="00EB5DBF" w:rsidP="00EB5DBF">
      <w:pPr>
        <w:pStyle w:val="Prrafodelista"/>
        <w:numPr>
          <w:ilvl w:val="3"/>
          <w:numId w:val="11"/>
        </w:numPr>
        <w:jc w:val="both"/>
        <w:rPr>
          <w:rFonts w:ascii="Garamond" w:eastAsia="Times New Roman" w:hAnsi="Garamond"/>
          <w:iCs/>
          <w:color w:val="000000"/>
        </w:rPr>
      </w:pPr>
      <w:r>
        <w:rPr>
          <w:rFonts w:ascii="Garamond" w:eastAsia="Times New Roman" w:hAnsi="Garamond"/>
          <w:iCs/>
          <w:color w:val="000000"/>
        </w:rPr>
        <w:t>Estimation of Tax Expenditures.</w:t>
      </w:r>
    </w:p>
    <w:p w14:paraId="76F24425" w14:textId="77777777" w:rsidR="00EB5DBF" w:rsidRPr="002D5E14" w:rsidRDefault="00EB5DBF" w:rsidP="002D21F5">
      <w:pPr>
        <w:pStyle w:val="Prrafodelista"/>
        <w:ind w:left="2880"/>
        <w:jc w:val="both"/>
        <w:rPr>
          <w:rFonts w:ascii="Garamond" w:eastAsia="Times New Roman" w:hAnsi="Garamond"/>
          <w:iCs/>
          <w:color w:val="000000"/>
        </w:rPr>
      </w:pPr>
    </w:p>
    <w:p w14:paraId="472D4291" w14:textId="77777777" w:rsidR="00E41873" w:rsidRPr="002D5E14" w:rsidRDefault="00E41873" w:rsidP="00E41873">
      <w:pPr>
        <w:pStyle w:val="Prrafodelista"/>
        <w:numPr>
          <w:ilvl w:val="2"/>
          <w:numId w:val="11"/>
        </w:numPr>
        <w:jc w:val="both"/>
        <w:rPr>
          <w:rFonts w:ascii="Garamond" w:eastAsia="Times New Roman" w:hAnsi="Garamond"/>
          <w:iCs/>
          <w:color w:val="000000"/>
        </w:rPr>
      </w:pPr>
      <w:r w:rsidRPr="002D5E14">
        <w:rPr>
          <w:rFonts w:ascii="Garamond" w:eastAsia="Calibri" w:hAnsi="Garamond"/>
          <w:lang w:val="en-US" w:eastAsia="ja-JP"/>
        </w:rPr>
        <w:t xml:space="preserve">For </w:t>
      </w:r>
      <w:r w:rsidR="00C979D6">
        <w:rPr>
          <w:rFonts w:ascii="Garamond" w:eastAsia="Calibri" w:hAnsi="Garamond"/>
          <w:lang w:eastAsia="ja-JP"/>
        </w:rPr>
        <w:t>social contributions</w:t>
      </w:r>
      <w:r w:rsidRPr="002D5E14">
        <w:rPr>
          <w:rFonts w:ascii="Garamond" w:eastAsia="Calibri" w:hAnsi="Garamond"/>
          <w:lang w:eastAsia="ja-JP"/>
        </w:rPr>
        <w:t>:</w:t>
      </w:r>
    </w:p>
    <w:p w14:paraId="2E5F89B9" w14:textId="77777777" w:rsidR="00E41873" w:rsidRPr="002D5E14" w:rsidRDefault="00C317EE" w:rsidP="00E41873">
      <w:pPr>
        <w:pStyle w:val="Prrafodelista"/>
        <w:numPr>
          <w:ilvl w:val="3"/>
          <w:numId w:val="11"/>
        </w:numPr>
        <w:jc w:val="both"/>
        <w:rPr>
          <w:rFonts w:ascii="Garamond" w:eastAsia="Times New Roman" w:hAnsi="Garamond"/>
          <w:iCs/>
          <w:color w:val="000000"/>
        </w:rPr>
      </w:pPr>
      <w:r>
        <w:rPr>
          <w:rFonts w:ascii="Garamond" w:eastAsia="Calibri" w:hAnsi="Garamond"/>
          <w:lang w:val="en-US" w:eastAsia="ja-JP"/>
        </w:rPr>
        <w:t>A list of e</w:t>
      </w:r>
      <w:r w:rsidR="00FE67A1" w:rsidRPr="002D5E14">
        <w:rPr>
          <w:rFonts w:ascii="Garamond" w:eastAsia="Calibri" w:hAnsi="Garamond"/>
          <w:lang w:val="en-US" w:eastAsia="ja-JP"/>
        </w:rPr>
        <w:t xml:space="preserve">xisting </w:t>
      </w:r>
      <w:r w:rsidR="00E41873" w:rsidRPr="002D5E14">
        <w:rPr>
          <w:rFonts w:ascii="Garamond" w:eastAsia="Calibri" w:hAnsi="Garamond"/>
          <w:lang w:eastAsia="ja-JP"/>
        </w:rPr>
        <w:t>social security systems</w:t>
      </w:r>
      <w:r w:rsidR="00263A18">
        <w:rPr>
          <w:rFonts w:ascii="Garamond" w:eastAsia="Calibri" w:hAnsi="Garamond"/>
          <w:lang w:eastAsia="ja-JP"/>
        </w:rPr>
        <w:t>.</w:t>
      </w:r>
    </w:p>
    <w:p w14:paraId="223337E7" w14:textId="77777777" w:rsidR="00E41873" w:rsidRPr="002D5E14" w:rsidRDefault="00E41873" w:rsidP="00E41873">
      <w:pPr>
        <w:pStyle w:val="Prrafodelista"/>
        <w:numPr>
          <w:ilvl w:val="3"/>
          <w:numId w:val="11"/>
        </w:numPr>
        <w:jc w:val="both"/>
        <w:rPr>
          <w:rFonts w:ascii="Garamond" w:eastAsia="Times New Roman" w:hAnsi="Garamond"/>
          <w:iCs/>
          <w:color w:val="000000"/>
        </w:rPr>
      </w:pPr>
      <w:r w:rsidRPr="002D5E14">
        <w:rPr>
          <w:rFonts w:ascii="Garamond" w:eastAsia="Calibri" w:hAnsi="Garamond"/>
          <w:lang w:val="en-US" w:eastAsia="ja-JP"/>
        </w:rPr>
        <w:t xml:space="preserve">Whether an individual can choose a specific social security system or the individual is </w:t>
      </w:r>
      <w:r w:rsidR="00263A18">
        <w:rPr>
          <w:rFonts w:ascii="Garamond" w:eastAsia="Calibri" w:hAnsi="Garamond"/>
          <w:lang w:val="en-US" w:eastAsia="ja-JP"/>
        </w:rPr>
        <w:t>obliged</w:t>
      </w:r>
      <w:r w:rsidR="00263A18" w:rsidRPr="002D5E14">
        <w:rPr>
          <w:rFonts w:ascii="Garamond" w:eastAsia="Calibri" w:hAnsi="Garamond"/>
          <w:lang w:val="en-US" w:eastAsia="ja-JP"/>
        </w:rPr>
        <w:t xml:space="preserve"> </w:t>
      </w:r>
      <w:r w:rsidRPr="002D5E14">
        <w:rPr>
          <w:rFonts w:ascii="Garamond" w:eastAsia="Calibri" w:hAnsi="Garamond"/>
          <w:lang w:val="en-US" w:eastAsia="ja-JP"/>
        </w:rPr>
        <w:t xml:space="preserve">to be affiliated </w:t>
      </w:r>
      <w:r w:rsidR="00263A18">
        <w:rPr>
          <w:rFonts w:ascii="Garamond" w:eastAsia="Calibri" w:hAnsi="Garamond"/>
          <w:lang w:val="en-US" w:eastAsia="ja-JP"/>
        </w:rPr>
        <w:t>with</w:t>
      </w:r>
      <w:r w:rsidR="00263A18" w:rsidRPr="002D5E14">
        <w:rPr>
          <w:rFonts w:ascii="Garamond" w:eastAsia="Calibri" w:hAnsi="Garamond"/>
          <w:lang w:val="en-US" w:eastAsia="ja-JP"/>
        </w:rPr>
        <w:t xml:space="preserve"> </w:t>
      </w:r>
      <w:r w:rsidRPr="002D5E14">
        <w:rPr>
          <w:rFonts w:ascii="Garamond" w:eastAsia="Calibri" w:hAnsi="Garamond"/>
          <w:lang w:val="en-US" w:eastAsia="ja-JP"/>
        </w:rPr>
        <w:t>a specific social security system.</w:t>
      </w:r>
    </w:p>
    <w:p w14:paraId="21F46D84" w14:textId="77777777" w:rsidR="00EB6B0F" w:rsidRPr="002D5E14" w:rsidRDefault="00263A18" w:rsidP="00E41873">
      <w:pPr>
        <w:pStyle w:val="Prrafodelista"/>
        <w:numPr>
          <w:ilvl w:val="3"/>
          <w:numId w:val="11"/>
        </w:numPr>
        <w:jc w:val="both"/>
        <w:rPr>
          <w:rFonts w:ascii="Garamond" w:eastAsia="Times New Roman" w:hAnsi="Garamond"/>
          <w:iCs/>
          <w:color w:val="000000"/>
        </w:rPr>
      </w:pPr>
      <w:r>
        <w:rPr>
          <w:rFonts w:ascii="Garamond" w:eastAsia="Calibri" w:hAnsi="Garamond"/>
          <w:lang w:eastAsia="ja-JP"/>
        </w:rPr>
        <w:t>The c</w:t>
      </w:r>
      <w:r w:rsidRPr="002D5E14">
        <w:rPr>
          <w:rFonts w:ascii="Garamond" w:eastAsia="Calibri" w:hAnsi="Garamond"/>
          <w:lang w:eastAsia="ja-JP"/>
        </w:rPr>
        <w:t xml:space="preserve">haracteristics </w:t>
      </w:r>
      <w:r w:rsidR="00CD3699">
        <w:rPr>
          <w:rFonts w:ascii="Garamond" w:eastAsia="Calibri" w:hAnsi="Garamond"/>
          <w:lang w:eastAsia="ja-JP"/>
        </w:rPr>
        <w:t xml:space="preserve">that must be met for someone </w:t>
      </w:r>
      <w:r>
        <w:rPr>
          <w:rFonts w:ascii="Garamond" w:eastAsia="Calibri" w:hAnsi="Garamond"/>
          <w:lang w:eastAsia="ja-JP"/>
        </w:rPr>
        <w:t>to fall</w:t>
      </w:r>
      <w:r w:rsidRPr="002D5E14">
        <w:rPr>
          <w:rFonts w:ascii="Garamond" w:eastAsia="Calibri" w:hAnsi="Garamond"/>
          <w:lang w:eastAsia="ja-JP"/>
        </w:rPr>
        <w:t xml:space="preserve"> under </w:t>
      </w:r>
      <w:r w:rsidR="00E41873" w:rsidRPr="002D5E14">
        <w:rPr>
          <w:rFonts w:ascii="Garamond" w:eastAsia="Calibri" w:hAnsi="Garamond"/>
          <w:lang w:eastAsia="ja-JP"/>
        </w:rPr>
        <w:t xml:space="preserve">a specific </w:t>
      </w:r>
      <w:r w:rsidR="00E41873" w:rsidRPr="002D5E14">
        <w:rPr>
          <w:rFonts w:ascii="Garamond" w:eastAsia="Calibri" w:hAnsi="Garamond"/>
          <w:lang w:val="en-US" w:eastAsia="ja-JP"/>
        </w:rPr>
        <w:t>social security system</w:t>
      </w:r>
      <w:r w:rsidR="00E41873" w:rsidRPr="002D5E14">
        <w:rPr>
          <w:rFonts w:ascii="Garamond" w:eastAsia="Calibri" w:hAnsi="Garamond"/>
          <w:lang w:eastAsia="ja-JP"/>
        </w:rPr>
        <w:t>.</w:t>
      </w:r>
    </w:p>
    <w:p w14:paraId="391A1734" w14:textId="77777777" w:rsidR="00E41873" w:rsidRPr="003A2485" w:rsidRDefault="00EB6B0F" w:rsidP="00E41873">
      <w:pPr>
        <w:pStyle w:val="Prrafodelista"/>
        <w:numPr>
          <w:ilvl w:val="3"/>
          <w:numId w:val="11"/>
        </w:numPr>
        <w:jc w:val="both"/>
        <w:rPr>
          <w:rFonts w:ascii="Garamond" w:eastAsia="Times New Roman" w:hAnsi="Garamond"/>
          <w:iCs/>
          <w:color w:val="000000"/>
        </w:rPr>
      </w:pPr>
      <w:r w:rsidRPr="002D5E14">
        <w:rPr>
          <w:rFonts w:ascii="Garamond" w:eastAsia="Calibri" w:hAnsi="Garamond"/>
          <w:lang w:eastAsia="ja-JP"/>
        </w:rPr>
        <w:t xml:space="preserve">Income rates </w:t>
      </w:r>
      <w:r w:rsidR="003A2485">
        <w:rPr>
          <w:rFonts w:ascii="Garamond" w:eastAsia="Calibri" w:hAnsi="Garamond"/>
          <w:lang w:eastAsia="ja-JP"/>
        </w:rPr>
        <w:t xml:space="preserve">that affiliated must pay </w:t>
      </w:r>
      <w:r w:rsidRPr="002D5E14">
        <w:rPr>
          <w:rFonts w:ascii="Garamond" w:eastAsia="Calibri" w:hAnsi="Garamond"/>
          <w:lang w:eastAsia="ja-JP"/>
        </w:rPr>
        <w:t xml:space="preserve">by service covered by the social security system. Contributions to pensions need to be estimated separately from health, unemployment, etc. </w:t>
      </w:r>
      <w:r w:rsidR="00E41873" w:rsidRPr="002D5E14">
        <w:rPr>
          <w:rFonts w:ascii="Garamond" w:eastAsia="Calibri" w:hAnsi="Garamond"/>
          <w:lang w:eastAsia="ja-JP"/>
        </w:rPr>
        <w:t xml:space="preserve"> </w:t>
      </w:r>
    </w:p>
    <w:p w14:paraId="38F8ECD9" w14:textId="77777777" w:rsidR="00263A18" w:rsidRPr="002D5E14" w:rsidRDefault="00263A18" w:rsidP="003A2485">
      <w:pPr>
        <w:pStyle w:val="Prrafodelista"/>
        <w:ind w:left="2880"/>
        <w:jc w:val="both"/>
        <w:rPr>
          <w:rFonts w:ascii="Garamond" w:eastAsia="Times New Roman" w:hAnsi="Garamond"/>
          <w:iCs/>
          <w:color w:val="000000"/>
        </w:rPr>
      </w:pPr>
    </w:p>
    <w:p w14:paraId="40A31B32" w14:textId="77777777" w:rsidR="00E41873" w:rsidRPr="002D5E14" w:rsidRDefault="00E41873" w:rsidP="00C83B9B">
      <w:pPr>
        <w:pStyle w:val="Prrafodelista"/>
        <w:numPr>
          <w:ilvl w:val="2"/>
          <w:numId w:val="11"/>
        </w:numPr>
        <w:jc w:val="both"/>
        <w:rPr>
          <w:rFonts w:ascii="Garamond" w:eastAsia="Times New Roman" w:hAnsi="Garamond"/>
          <w:iCs/>
          <w:color w:val="000000"/>
        </w:rPr>
      </w:pPr>
      <w:r w:rsidRPr="002D5E14">
        <w:rPr>
          <w:rFonts w:ascii="Garamond" w:eastAsia="Calibri" w:hAnsi="Garamond"/>
          <w:lang w:eastAsia="ja-JP"/>
        </w:rPr>
        <w:t>For direct transfers</w:t>
      </w:r>
      <w:r w:rsidR="00D918E9" w:rsidRPr="002D5E14">
        <w:rPr>
          <w:rFonts w:ascii="Garamond" w:eastAsia="Calibri" w:hAnsi="Garamond"/>
          <w:lang w:eastAsia="ja-JP"/>
        </w:rPr>
        <w:t xml:space="preserve"> and subsidies</w:t>
      </w:r>
      <w:r w:rsidR="00C83B9B" w:rsidRPr="002D5E14">
        <w:rPr>
          <w:rFonts w:ascii="Garamond" w:eastAsia="Calibri" w:hAnsi="Garamond"/>
          <w:lang w:eastAsia="ja-JP"/>
        </w:rPr>
        <w:t>:</w:t>
      </w:r>
    </w:p>
    <w:p w14:paraId="4C572940" w14:textId="77777777" w:rsidR="0037237B" w:rsidRPr="002D5E14" w:rsidRDefault="00C317EE" w:rsidP="00E41873">
      <w:pPr>
        <w:pStyle w:val="Prrafodelista"/>
        <w:numPr>
          <w:ilvl w:val="3"/>
          <w:numId w:val="11"/>
        </w:numPr>
        <w:jc w:val="both"/>
        <w:rPr>
          <w:rFonts w:ascii="Garamond" w:eastAsia="Times New Roman" w:hAnsi="Garamond"/>
          <w:iCs/>
          <w:color w:val="000000"/>
        </w:rPr>
      </w:pPr>
      <w:r>
        <w:rPr>
          <w:rFonts w:ascii="Garamond" w:eastAsia="Times New Roman" w:hAnsi="Garamond"/>
          <w:iCs/>
          <w:color w:val="000000"/>
        </w:rPr>
        <w:t>A list of e</w:t>
      </w:r>
      <w:r w:rsidR="0037237B" w:rsidRPr="002D5E14">
        <w:rPr>
          <w:rFonts w:ascii="Garamond" w:eastAsia="Times New Roman" w:hAnsi="Garamond"/>
          <w:iCs/>
          <w:color w:val="000000"/>
        </w:rPr>
        <w:t>xisting direct transfers and subsidies</w:t>
      </w:r>
      <w:r>
        <w:rPr>
          <w:rFonts w:ascii="Garamond" w:eastAsia="Times New Roman" w:hAnsi="Garamond"/>
          <w:iCs/>
          <w:color w:val="000000"/>
        </w:rPr>
        <w:t>.</w:t>
      </w:r>
    </w:p>
    <w:p w14:paraId="46D65F28" w14:textId="77777777" w:rsidR="00E41873" w:rsidRDefault="00C317EE" w:rsidP="00E41873">
      <w:pPr>
        <w:pStyle w:val="Prrafodelista"/>
        <w:numPr>
          <w:ilvl w:val="3"/>
          <w:numId w:val="11"/>
        </w:numPr>
        <w:jc w:val="both"/>
        <w:rPr>
          <w:rFonts w:ascii="Garamond" w:eastAsia="Times New Roman" w:hAnsi="Garamond"/>
          <w:iCs/>
          <w:color w:val="000000"/>
        </w:rPr>
      </w:pPr>
      <w:r>
        <w:rPr>
          <w:rFonts w:ascii="Garamond" w:eastAsia="Times New Roman" w:hAnsi="Garamond"/>
          <w:iCs/>
          <w:color w:val="000000"/>
        </w:rPr>
        <w:t>The c</w:t>
      </w:r>
      <w:r w:rsidR="00D5499B" w:rsidRPr="002D5E14">
        <w:rPr>
          <w:rFonts w:ascii="Garamond" w:eastAsia="Times New Roman" w:hAnsi="Garamond"/>
          <w:iCs/>
          <w:color w:val="000000"/>
        </w:rPr>
        <w:t xml:space="preserve">onditions </w:t>
      </w:r>
      <w:r>
        <w:rPr>
          <w:rFonts w:ascii="Garamond" w:eastAsia="Times New Roman" w:hAnsi="Garamond"/>
          <w:iCs/>
          <w:color w:val="000000"/>
        </w:rPr>
        <w:t xml:space="preserve">that need to be met </w:t>
      </w:r>
      <w:r w:rsidR="00CD3699">
        <w:rPr>
          <w:rFonts w:ascii="Garamond" w:eastAsia="Calibri" w:hAnsi="Garamond"/>
          <w:lang w:eastAsia="ja-JP"/>
        </w:rPr>
        <w:t xml:space="preserve">for someone </w:t>
      </w:r>
      <w:r w:rsidR="00C979D6">
        <w:rPr>
          <w:rFonts w:ascii="Garamond" w:eastAsia="Times New Roman" w:hAnsi="Garamond"/>
          <w:iCs/>
          <w:color w:val="000000"/>
        </w:rPr>
        <w:t>to be</w:t>
      </w:r>
      <w:r w:rsidR="00C83B9B" w:rsidRPr="002D5E14">
        <w:rPr>
          <w:rFonts w:ascii="Garamond" w:eastAsia="Times New Roman" w:hAnsi="Garamond"/>
          <w:iCs/>
          <w:color w:val="000000"/>
        </w:rPr>
        <w:t xml:space="preserve"> beneficiary</w:t>
      </w:r>
      <w:r w:rsidR="00D5499B" w:rsidRPr="002D5E14">
        <w:rPr>
          <w:rFonts w:ascii="Garamond" w:eastAsia="Times New Roman" w:hAnsi="Garamond"/>
          <w:iCs/>
          <w:color w:val="000000"/>
        </w:rPr>
        <w:t xml:space="preserve">. </w:t>
      </w:r>
    </w:p>
    <w:p w14:paraId="290D5261" w14:textId="77777777" w:rsidR="001F210A" w:rsidRPr="002D5E14" w:rsidRDefault="001F210A" w:rsidP="00E41873">
      <w:pPr>
        <w:pStyle w:val="Prrafodelista"/>
        <w:numPr>
          <w:ilvl w:val="3"/>
          <w:numId w:val="11"/>
        </w:numPr>
        <w:jc w:val="both"/>
        <w:rPr>
          <w:rFonts w:ascii="Garamond" w:eastAsia="Times New Roman" w:hAnsi="Garamond"/>
          <w:iCs/>
          <w:color w:val="000000"/>
        </w:rPr>
      </w:pPr>
      <w:r>
        <w:rPr>
          <w:rFonts w:ascii="Garamond" w:eastAsia="Times New Roman" w:hAnsi="Garamond"/>
          <w:iCs/>
          <w:color w:val="000000"/>
        </w:rPr>
        <w:t xml:space="preserve">Identify whether the beneficiary is an individual or a household. </w:t>
      </w:r>
    </w:p>
    <w:p w14:paraId="7F1E2CB3" w14:textId="77777777" w:rsidR="00D5499B" w:rsidRPr="002D5E14" w:rsidRDefault="00C979D6" w:rsidP="00E41873">
      <w:pPr>
        <w:pStyle w:val="Prrafodelista"/>
        <w:numPr>
          <w:ilvl w:val="3"/>
          <w:numId w:val="11"/>
        </w:numPr>
        <w:jc w:val="both"/>
        <w:rPr>
          <w:rFonts w:ascii="Garamond" w:eastAsia="Times New Roman" w:hAnsi="Garamond"/>
          <w:iCs/>
          <w:color w:val="000000"/>
        </w:rPr>
      </w:pPr>
      <w:r>
        <w:rPr>
          <w:rFonts w:ascii="Garamond" w:eastAsia="Times New Roman" w:hAnsi="Garamond"/>
          <w:iCs/>
          <w:color w:val="000000"/>
        </w:rPr>
        <w:t>T</w:t>
      </w:r>
      <w:r w:rsidR="00C317EE">
        <w:rPr>
          <w:rFonts w:ascii="Garamond" w:eastAsia="Times New Roman" w:hAnsi="Garamond"/>
          <w:iCs/>
          <w:color w:val="000000"/>
        </w:rPr>
        <w:t>he t</w:t>
      </w:r>
      <w:r w:rsidR="00C83B9B" w:rsidRPr="002D5E14">
        <w:rPr>
          <w:rFonts w:ascii="Garamond" w:eastAsia="Times New Roman" w:hAnsi="Garamond"/>
          <w:iCs/>
          <w:color w:val="000000"/>
        </w:rPr>
        <w:t xml:space="preserve">argeting </w:t>
      </w:r>
      <w:r w:rsidR="00D50C40" w:rsidRPr="002D5E14">
        <w:rPr>
          <w:rFonts w:ascii="Garamond" w:eastAsia="Times New Roman" w:hAnsi="Garamond"/>
          <w:iCs/>
          <w:color w:val="000000"/>
        </w:rPr>
        <w:t xml:space="preserve">mechanisms </w:t>
      </w:r>
      <w:r w:rsidR="00C83B9B" w:rsidRPr="002D5E14">
        <w:rPr>
          <w:rFonts w:ascii="Garamond" w:eastAsia="Times New Roman" w:hAnsi="Garamond"/>
          <w:iCs/>
          <w:color w:val="000000"/>
        </w:rPr>
        <w:t xml:space="preserve">used to select the beneficiaries. </w:t>
      </w:r>
    </w:p>
    <w:p w14:paraId="43A5CA96" w14:textId="77777777" w:rsidR="0037237B" w:rsidRPr="002D5E14" w:rsidRDefault="0037237B" w:rsidP="0037237B">
      <w:pPr>
        <w:pStyle w:val="Prrafodelista"/>
        <w:numPr>
          <w:ilvl w:val="3"/>
          <w:numId w:val="11"/>
        </w:numPr>
        <w:jc w:val="both"/>
        <w:rPr>
          <w:rFonts w:ascii="Garamond" w:eastAsia="Times New Roman" w:hAnsi="Garamond"/>
          <w:iCs/>
          <w:color w:val="000000"/>
        </w:rPr>
      </w:pPr>
      <w:r w:rsidRPr="002D5E14">
        <w:rPr>
          <w:rFonts w:ascii="Garamond" w:eastAsia="Times New Roman" w:hAnsi="Garamond"/>
          <w:iCs/>
          <w:color w:val="000000"/>
        </w:rPr>
        <w:lastRenderedPageBreak/>
        <w:t>Amount of the benefit if it</w:t>
      </w:r>
      <w:r w:rsidR="00C317EE">
        <w:rPr>
          <w:rFonts w:ascii="Garamond" w:eastAsia="Times New Roman" w:hAnsi="Garamond"/>
          <w:iCs/>
          <w:color w:val="000000"/>
        </w:rPr>
        <w:t xml:space="preserve"> is</w:t>
      </w:r>
      <w:r w:rsidRPr="002D5E14">
        <w:rPr>
          <w:rFonts w:ascii="Garamond" w:eastAsia="Times New Roman" w:hAnsi="Garamond"/>
          <w:iCs/>
          <w:color w:val="000000"/>
        </w:rPr>
        <w:t xml:space="preserve"> fixed or how the amount is determined if it is variable. </w:t>
      </w:r>
    </w:p>
    <w:p w14:paraId="4A59A433" w14:textId="77777777" w:rsidR="00432599" w:rsidRDefault="00432599" w:rsidP="0037237B">
      <w:pPr>
        <w:pStyle w:val="Prrafodelista"/>
        <w:numPr>
          <w:ilvl w:val="3"/>
          <w:numId w:val="11"/>
        </w:numPr>
        <w:jc w:val="both"/>
        <w:rPr>
          <w:rFonts w:ascii="Garamond" w:eastAsia="Times New Roman" w:hAnsi="Garamond"/>
          <w:iCs/>
          <w:color w:val="000000"/>
        </w:rPr>
      </w:pPr>
      <w:r w:rsidRPr="002D5E14">
        <w:rPr>
          <w:rFonts w:ascii="Garamond" w:eastAsia="Times New Roman" w:hAnsi="Garamond"/>
          <w:iCs/>
          <w:color w:val="000000"/>
        </w:rPr>
        <w:t xml:space="preserve">In the case of subsidies, it is important to know if it </w:t>
      </w:r>
      <w:r w:rsidR="00C317EE">
        <w:rPr>
          <w:rFonts w:ascii="Garamond" w:eastAsia="Times New Roman" w:hAnsi="Garamond"/>
          <w:iCs/>
          <w:color w:val="000000"/>
        </w:rPr>
        <w:t>s</w:t>
      </w:r>
      <w:r w:rsidRPr="002D5E14">
        <w:rPr>
          <w:rFonts w:ascii="Garamond" w:eastAsia="Times New Roman" w:hAnsi="Garamond"/>
          <w:iCs/>
          <w:color w:val="000000"/>
        </w:rPr>
        <w:t>ubsid</w:t>
      </w:r>
      <w:r w:rsidR="00C317EE">
        <w:rPr>
          <w:rFonts w:ascii="Garamond" w:eastAsia="Times New Roman" w:hAnsi="Garamond"/>
          <w:iCs/>
          <w:color w:val="000000"/>
        </w:rPr>
        <w:t xml:space="preserve">izes the </w:t>
      </w:r>
      <w:r w:rsidRPr="002D5E14">
        <w:rPr>
          <w:rFonts w:ascii="Garamond" w:eastAsia="Times New Roman" w:hAnsi="Garamond"/>
          <w:iCs/>
          <w:color w:val="000000"/>
        </w:rPr>
        <w:t xml:space="preserve">supply or the demand. </w:t>
      </w:r>
    </w:p>
    <w:p w14:paraId="6BFD0BD8" w14:textId="77777777" w:rsidR="00263A18" w:rsidRPr="002D5E14" w:rsidRDefault="00263A18" w:rsidP="00F74EA5">
      <w:pPr>
        <w:pStyle w:val="Prrafodelista"/>
        <w:ind w:left="2880"/>
        <w:jc w:val="both"/>
        <w:rPr>
          <w:rFonts w:ascii="Garamond" w:eastAsia="Times New Roman" w:hAnsi="Garamond"/>
          <w:iCs/>
          <w:color w:val="000000"/>
        </w:rPr>
      </w:pPr>
    </w:p>
    <w:p w14:paraId="65BC5D12" w14:textId="77777777" w:rsidR="00591982" w:rsidRPr="002D5E14" w:rsidRDefault="00EB6B0F" w:rsidP="00EB6B0F">
      <w:pPr>
        <w:pStyle w:val="Prrafodelista"/>
        <w:numPr>
          <w:ilvl w:val="2"/>
          <w:numId w:val="11"/>
        </w:numPr>
        <w:jc w:val="both"/>
        <w:rPr>
          <w:rFonts w:ascii="Garamond" w:eastAsia="Times New Roman" w:hAnsi="Garamond"/>
          <w:iCs/>
          <w:color w:val="000000"/>
        </w:rPr>
      </w:pPr>
      <w:r w:rsidRPr="002D5E14">
        <w:rPr>
          <w:rFonts w:ascii="Garamond" w:eastAsia="Times New Roman" w:hAnsi="Garamond"/>
          <w:iCs/>
          <w:color w:val="000000"/>
        </w:rPr>
        <w:t>Indirect taxes</w:t>
      </w:r>
    </w:p>
    <w:p w14:paraId="064B6245" w14:textId="77777777" w:rsidR="0037237B" w:rsidRDefault="00C979D6" w:rsidP="0037237B">
      <w:pPr>
        <w:pStyle w:val="Prrafodelista"/>
        <w:numPr>
          <w:ilvl w:val="3"/>
          <w:numId w:val="11"/>
        </w:numPr>
        <w:jc w:val="both"/>
        <w:rPr>
          <w:rFonts w:ascii="Garamond" w:eastAsia="Times New Roman" w:hAnsi="Garamond"/>
          <w:iCs/>
          <w:color w:val="000000"/>
        </w:rPr>
      </w:pPr>
      <w:r>
        <w:rPr>
          <w:rFonts w:ascii="Garamond" w:eastAsia="Times New Roman" w:hAnsi="Garamond"/>
          <w:iCs/>
          <w:color w:val="000000"/>
        </w:rPr>
        <w:t>Value added and excises tax rates</w:t>
      </w:r>
      <w:r w:rsidR="00C317EE">
        <w:rPr>
          <w:rFonts w:ascii="Garamond" w:eastAsia="Times New Roman" w:hAnsi="Garamond"/>
          <w:iCs/>
          <w:color w:val="000000"/>
        </w:rPr>
        <w:t>.</w:t>
      </w:r>
    </w:p>
    <w:p w14:paraId="1505A5AB" w14:textId="77777777" w:rsidR="00C979D6" w:rsidRDefault="00C979D6" w:rsidP="0037237B">
      <w:pPr>
        <w:pStyle w:val="Prrafodelista"/>
        <w:numPr>
          <w:ilvl w:val="3"/>
          <w:numId w:val="11"/>
        </w:numPr>
        <w:jc w:val="both"/>
        <w:rPr>
          <w:rFonts w:ascii="Garamond" w:eastAsia="Times New Roman" w:hAnsi="Garamond"/>
          <w:iCs/>
          <w:color w:val="000000"/>
        </w:rPr>
      </w:pPr>
      <w:r>
        <w:rPr>
          <w:rFonts w:ascii="Garamond" w:eastAsia="Times New Roman" w:hAnsi="Garamond"/>
          <w:iCs/>
          <w:color w:val="000000"/>
        </w:rPr>
        <w:t xml:space="preserve">Existing exemptions. </w:t>
      </w:r>
    </w:p>
    <w:p w14:paraId="14B1583B" w14:textId="77777777" w:rsidR="00EB5DBF" w:rsidRPr="002D5E14" w:rsidRDefault="0007594E" w:rsidP="0037237B">
      <w:pPr>
        <w:pStyle w:val="Prrafodelista"/>
        <w:numPr>
          <w:ilvl w:val="3"/>
          <w:numId w:val="11"/>
        </w:numPr>
        <w:jc w:val="both"/>
        <w:rPr>
          <w:rFonts w:ascii="Garamond" w:eastAsia="Times New Roman" w:hAnsi="Garamond"/>
          <w:iCs/>
          <w:color w:val="000000"/>
        </w:rPr>
      </w:pPr>
      <w:r>
        <w:rPr>
          <w:rFonts w:ascii="Garamond" w:eastAsia="Times New Roman" w:hAnsi="Garamond"/>
          <w:iCs/>
          <w:color w:val="000000"/>
        </w:rPr>
        <w:t>Estimation of tax e</w:t>
      </w:r>
      <w:r w:rsidR="00EB5DBF">
        <w:rPr>
          <w:rFonts w:ascii="Garamond" w:eastAsia="Times New Roman" w:hAnsi="Garamond"/>
          <w:iCs/>
          <w:color w:val="000000"/>
        </w:rPr>
        <w:t>xpenditures.</w:t>
      </w:r>
    </w:p>
    <w:p w14:paraId="7292915E" w14:textId="77777777" w:rsidR="0037237B" w:rsidRPr="002D5E14" w:rsidRDefault="0037237B" w:rsidP="0037237B">
      <w:pPr>
        <w:pStyle w:val="Prrafodelista"/>
        <w:numPr>
          <w:ilvl w:val="3"/>
          <w:numId w:val="11"/>
        </w:numPr>
        <w:jc w:val="both"/>
        <w:rPr>
          <w:rFonts w:ascii="Garamond" w:eastAsia="Times New Roman" w:hAnsi="Garamond"/>
          <w:iCs/>
          <w:color w:val="000000"/>
        </w:rPr>
      </w:pPr>
      <w:r w:rsidRPr="002D5E14">
        <w:rPr>
          <w:rFonts w:ascii="Garamond" w:eastAsia="Times New Roman" w:hAnsi="Garamond"/>
          <w:iCs/>
          <w:color w:val="000000"/>
        </w:rPr>
        <w:t xml:space="preserve">Information on </w:t>
      </w:r>
      <w:r w:rsidR="00432599" w:rsidRPr="002D5E14">
        <w:rPr>
          <w:rFonts w:ascii="Garamond" w:eastAsia="Times New Roman" w:hAnsi="Garamond"/>
          <w:iCs/>
          <w:color w:val="000000"/>
        </w:rPr>
        <w:t xml:space="preserve">tax </w:t>
      </w:r>
      <w:r w:rsidRPr="002D5E14">
        <w:rPr>
          <w:rFonts w:ascii="Garamond" w:eastAsia="Times New Roman" w:hAnsi="Garamond"/>
          <w:iCs/>
          <w:color w:val="000000"/>
        </w:rPr>
        <w:t xml:space="preserve">evasion. </w:t>
      </w:r>
    </w:p>
    <w:p w14:paraId="7BDFBD5A" w14:textId="77777777" w:rsidR="0037237B" w:rsidRPr="002D5E14" w:rsidRDefault="0037237B" w:rsidP="0037237B">
      <w:pPr>
        <w:pStyle w:val="Prrafodelista"/>
        <w:numPr>
          <w:ilvl w:val="3"/>
          <w:numId w:val="11"/>
        </w:numPr>
        <w:jc w:val="both"/>
        <w:rPr>
          <w:rFonts w:ascii="Garamond" w:eastAsia="Times New Roman" w:hAnsi="Garamond"/>
          <w:iCs/>
          <w:color w:val="000000"/>
        </w:rPr>
      </w:pPr>
      <w:r w:rsidRPr="002D5E14">
        <w:rPr>
          <w:rFonts w:ascii="Garamond" w:eastAsia="Times New Roman" w:hAnsi="Garamond"/>
          <w:iCs/>
          <w:color w:val="000000"/>
        </w:rPr>
        <w:t>If the main survey used for constructing the CEQ Income concepts do</w:t>
      </w:r>
      <w:r w:rsidR="00C317EE">
        <w:rPr>
          <w:rFonts w:ascii="Garamond" w:eastAsia="Times New Roman" w:hAnsi="Garamond"/>
          <w:iCs/>
          <w:color w:val="000000"/>
        </w:rPr>
        <w:t>es</w:t>
      </w:r>
      <w:r w:rsidRPr="002D5E14">
        <w:rPr>
          <w:rFonts w:ascii="Garamond" w:eastAsia="Times New Roman" w:hAnsi="Garamond"/>
          <w:iCs/>
          <w:color w:val="000000"/>
        </w:rPr>
        <w:t xml:space="preserve"> not have information on consumption you will need a secondary source. Please see Chapter </w:t>
      </w:r>
      <w:r w:rsidR="00C4460B">
        <w:rPr>
          <w:rFonts w:ascii="Garamond" w:eastAsia="Times New Roman" w:hAnsi="Garamond"/>
          <w:iCs/>
          <w:color w:val="000000"/>
        </w:rPr>
        <w:t>6</w:t>
      </w:r>
      <w:r w:rsidRPr="002D5E14">
        <w:rPr>
          <w:rFonts w:ascii="Garamond" w:eastAsia="Times New Roman" w:hAnsi="Garamond"/>
          <w:iCs/>
          <w:color w:val="000000"/>
        </w:rPr>
        <w:t xml:space="preserve"> of this handbook. </w:t>
      </w:r>
    </w:p>
    <w:p w14:paraId="51702FCA" w14:textId="77777777" w:rsidR="002C42C7" w:rsidRPr="005720C0" w:rsidRDefault="005C0172" w:rsidP="002C42C7">
      <w:pPr>
        <w:pStyle w:val="Prrafodelista"/>
        <w:numPr>
          <w:ilvl w:val="3"/>
          <w:numId w:val="11"/>
        </w:numPr>
        <w:jc w:val="both"/>
        <w:rPr>
          <w:rFonts w:ascii="Garamond" w:eastAsia="Times New Roman" w:hAnsi="Garamond"/>
          <w:iCs/>
          <w:color w:val="000000"/>
        </w:rPr>
      </w:pPr>
      <w:r w:rsidRPr="002D5E14">
        <w:rPr>
          <w:rFonts w:ascii="Garamond" w:eastAsia="Calibri" w:hAnsi="Garamond"/>
          <w:lang w:val="en-US" w:eastAsia="ja-JP"/>
        </w:rPr>
        <w:t>Input-output table, SAM (Social Accounting Matrix), or SUT (Supply and Use table)</w:t>
      </w:r>
      <w:r w:rsidR="00C4460B">
        <w:rPr>
          <w:rFonts w:ascii="Garamond" w:eastAsia="Calibri" w:hAnsi="Garamond"/>
          <w:lang w:val="en-US" w:eastAsia="ja-JP"/>
        </w:rPr>
        <w:t xml:space="preserve"> for estimating indirect effects. For more details about Indirect Effects see Chapter 7 of this Handbook</w:t>
      </w:r>
      <w:r w:rsidRPr="002D5E14">
        <w:rPr>
          <w:rFonts w:ascii="Garamond" w:eastAsia="Calibri" w:hAnsi="Garamond"/>
          <w:lang w:val="en-US" w:eastAsia="ja-JP"/>
        </w:rPr>
        <w:t xml:space="preserve">. </w:t>
      </w:r>
    </w:p>
    <w:p w14:paraId="57E6293B" w14:textId="77777777" w:rsidR="00263A18" w:rsidRPr="002D5E14" w:rsidRDefault="00263A18" w:rsidP="00F74EA5">
      <w:pPr>
        <w:pStyle w:val="Prrafodelista"/>
        <w:ind w:left="2880"/>
        <w:jc w:val="both"/>
        <w:rPr>
          <w:rFonts w:ascii="Garamond" w:eastAsia="Times New Roman" w:hAnsi="Garamond"/>
          <w:iCs/>
          <w:color w:val="000000"/>
        </w:rPr>
      </w:pPr>
    </w:p>
    <w:p w14:paraId="33C895E6" w14:textId="77777777" w:rsidR="00AB770C" w:rsidRPr="002D5E14" w:rsidRDefault="0037237B" w:rsidP="00AB770C">
      <w:pPr>
        <w:pStyle w:val="Prrafodelista"/>
        <w:numPr>
          <w:ilvl w:val="2"/>
          <w:numId w:val="11"/>
        </w:numPr>
        <w:jc w:val="both"/>
        <w:rPr>
          <w:rFonts w:ascii="Garamond" w:eastAsia="Times New Roman" w:hAnsi="Garamond"/>
          <w:iCs/>
          <w:color w:val="000000"/>
        </w:rPr>
      </w:pPr>
      <w:r w:rsidRPr="002D5E14">
        <w:rPr>
          <w:rFonts w:ascii="Garamond" w:eastAsia="Calibri" w:hAnsi="Garamond"/>
          <w:lang w:val="en-US" w:eastAsia="ja-JP"/>
        </w:rPr>
        <w:t>Education</w:t>
      </w:r>
    </w:p>
    <w:p w14:paraId="312B6DC0" w14:textId="77777777" w:rsidR="0037237B" w:rsidRPr="002D5E14" w:rsidRDefault="00B9180A" w:rsidP="0037237B">
      <w:pPr>
        <w:pStyle w:val="Prrafodelista"/>
        <w:numPr>
          <w:ilvl w:val="3"/>
          <w:numId w:val="11"/>
        </w:numPr>
        <w:jc w:val="both"/>
        <w:rPr>
          <w:rFonts w:ascii="Garamond" w:eastAsia="Times New Roman" w:hAnsi="Garamond"/>
          <w:iCs/>
          <w:color w:val="000000"/>
        </w:rPr>
      </w:pPr>
      <w:r w:rsidRPr="002D5E14">
        <w:rPr>
          <w:rFonts w:ascii="Garamond" w:eastAsia="Times New Roman" w:hAnsi="Garamond"/>
          <w:iCs/>
          <w:color w:val="000000"/>
        </w:rPr>
        <w:t xml:space="preserve">Information on what type of schools receive resources from the government, if it is only public schools, semi private </w:t>
      </w:r>
      <w:r w:rsidR="00CD3699" w:rsidRPr="002D5E14">
        <w:rPr>
          <w:rFonts w:ascii="Garamond" w:eastAsia="Times New Roman" w:hAnsi="Garamond"/>
          <w:iCs/>
          <w:color w:val="000000"/>
        </w:rPr>
        <w:t>schools</w:t>
      </w:r>
      <w:r w:rsidR="00CD3699">
        <w:rPr>
          <w:rFonts w:ascii="Garamond" w:eastAsia="Times New Roman" w:hAnsi="Garamond"/>
          <w:iCs/>
          <w:color w:val="000000"/>
        </w:rPr>
        <w:t xml:space="preserve">, </w:t>
      </w:r>
      <w:r w:rsidR="00CD3699" w:rsidRPr="002D5E14">
        <w:rPr>
          <w:rFonts w:ascii="Garamond" w:eastAsia="Times New Roman" w:hAnsi="Garamond"/>
          <w:iCs/>
          <w:color w:val="000000"/>
        </w:rPr>
        <w:t>and</w:t>
      </w:r>
      <w:r w:rsidRPr="002D5E14">
        <w:rPr>
          <w:rFonts w:ascii="Garamond" w:eastAsia="Times New Roman" w:hAnsi="Garamond"/>
          <w:iCs/>
          <w:color w:val="000000"/>
        </w:rPr>
        <w:t>/or private schools.</w:t>
      </w:r>
    </w:p>
    <w:p w14:paraId="6A1E2661" w14:textId="77777777" w:rsidR="00DD7F2F" w:rsidRPr="002D5E14" w:rsidRDefault="00DD7F2F" w:rsidP="0037237B">
      <w:pPr>
        <w:pStyle w:val="Prrafodelista"/>
        <w:numPr>
          <w:ilvl w:val="3"/>
          <w:numId w:val="11"/>
        </w:numPr>
        <w:jc w:val="both"/>
        <w:rPr>
          <w:rFonts w:ascii="Garamond" w:eastAsia="Times New Roman" w:hAnsi="Garamond"/>
          <w:iCs/>
          <w:color w:val="000000"/>
        </w:rPr>
      </w:pPr>
      <w:r w:rsidRPr="002D5E14">
        <w:rPr>
          <w:rFonts w:ascii="Garamond" w:eastAsia="Calibri" w:hAnsi="Garamond"/>
          <w:lang w:eastAsia="ja-JP"/>
        </w:rPr>
        <w:t>I</w:t>
      </w:r>
      <w:proofErr w:type="spellStart"/>
      <w:r w:rsidRPr="002D5E14">
        <w:rPr>
          <w:rFonts w:ascii="Garamond" w:eastAsia="Calibri" w:hAnsi="Garamond"/>
          <w:lang w:val="en-US" w:eastAsia="ja-JP"/>
        </w:rPr>
        <w:t>nformation</w:t>
      </w:r>
      <w:proofErr w:type="spellEnd"/>
      <w:r w:rsidRPr="002D5E14">
        <w:rPr>
          <w:rFonts w:ascii="Garamond" w:eastAsia="Calibri" w:hAnsi="Garamond"/>
          <w:lang w:val="en-US" w:eastAsia="ja-JP"/>
        </w:rPr>
        <w:t xml:space="preserve"> on co-pays.</w:t>
      </w:r>
    </w:p>
    <w:p w14:paraId="21B349F5" w14:textId="77777777" w:rsidR="00DD7F2F" w:rsidRPr="002D5E14" w:rsidRDefault="00DD7F2F" w:rsidP="0037237B">
      <w:pPr>
        <w:pStyle w:val="Prrafodelista"/>
        <w:numPr>
          <w:ilvl w:val="3"/>
          <w:numId w:val="11"/>
        </w:numPr>
        <w:jc w:val="both"/>
        <w:rPr>
          <w:rFonts w:ascii="Garamond" w:eastAsia="Times New Roman" w:hAnsi="Garamond"/>
          <w:iCs/>
          <w:color w:val="000000"/>
        </w:rPr>
      </w:pPr>
      <w:r w:rsidRPr="002D5E14">
        <w:rPr>
          <w:rFonts w:ascii="Garamond" w:eastAsia="Calibri" w:hAnsi="Garamond"/>
          <w:lang w:val="en-US" w:eastAsia="ja-JP"/>
        </w:rPr>
        <w:t>If the survey does not report who attend</w:t>
      </w:r>
      <w:r w:rsidR="00CD3699">
        <w:rPr>
          <w:rFonts w:ascii="Garamond" w:eastAsia="Calibri" w:hAnsi="Garamond"/>
          <w:lang w:val="en-US" w:eastAsia="ja-JP"/>
        </w:rPr>
        <w:t>s</w:t>
      </w:r>
      <w:r w:rsidRPr="002D5E14">
        <w:rPr>
          <w:rFonts w:ascii="Garamond" w:eastAsia="Calibri" w:hAnsi="Garamond"/>
          <w:lang w:val="en-US" w:eastAsia="ja-JP"/>
        </w:rPr>
        <w:t xml:space="preserve"> public schools</w:t>
      </w:r>
      <w:r w:rsidR="00CD3699">
        <w:rPr>
          <w:rFonts w:ascii="Garamond" w:eastAsia="Calibri" w:hAnsi="Garamond"/>
          <w:lang w:val="en-US" w:eastAsia="ja-JP"/>
        </w:rPr>
        <w:t>, then i</w:t>
      </w:r>
      <w:r w:rsidRPr="002D5E14">
        <w:rPr>
          <w:rFonts w:ascii="Garamond" w:eastAsia="Calibri" w:hAnsi="Garamond"/>
          <w:lang w:val="en-US" w:eastAsia="ja-JP"/>
        </w:rPr>
        <w:t xml:space="preserve">ndividual characteristics that allow </w:t>
      </w:r>
      <w:r w:rsidR="00CD3699">
        <w:rPr>
          <w:rFonts w:ascii="Garamond" w:eastAsia="Calibri" w:hAnsi="Garamond"/>
          <w:lang w:val="en-US" w:eastAsia="ja-JP"/>
        </w:rPr>
        <w:t>the identification of</w:t>
      </w:r>
      <w:r w:rsidRPr="002D5E14">
        <w:rPr>
          <w:rFonts w:ascii="Garamond" w:eastAsia="Calibri" w:hAnsi="Garamond"/>
          <w:lang w:val="en-US" w:eastAsia="ja-JP"/>
        </w:rPr>
        <w:t xml:space="preserve"> which individuals are more likely to attend a public school is necess</w:t>
      </w:r>
      <w:r w:rsidR="00CD3699">
        <w:rPr>
          <w:rFonts w:ascii="Garamond" w:eastAsia="Calibri" w:hAnsi="Garamond"/>
          <w:lang w:val="en-US" w:eastAsia="ja-JP"/>
        </w:rPr>
        <w:t>ary</w:t>
      </w:r>
      <w:r w:rsidRPr="002D5E14">
        <w:rPr>
          <w:rFonts w:ascii="Garamond" w:eastAsia="Calibri" w:hAnsi="Garamond"/>
          <w:lang w:val="en-US" w:eastAsia="ja-JP"/>
        </w:rPr>
        <w:t xml:space="preserve">. </w:t>
      </w:r>
    </w:p>
    <w:p w14:paraId="7628F300" w14:textId="77777777" w:rsidR="00B9180A" w:rsidRPr="002D5E14" w:rsidRDefault="00B9180A" w:rsidP="00AB770C">
      <w:pPr>
        <w:pStyle w:val="Prrafodelista"/>
        <w:ind w:left="2880"/>
        <w:jc w:val="both"/>
        <w:rPr>
          <w:rFonts w:ascii="Garamond" w:eastAsia="Times New Roman" w:hAnsi="Garamond"/>
          <w:iCs/>
          <w:color w:val="000000"/>
        </w:rPr>
      </w:pPr>
    </w:p>
    <w:p w14:paraId="1BFF2D48" w14:textId="77777777" w:rsidR="0037237B" w:rsidRPr="002D5E14" w:rsidRDefault="0037237B" w:rsidP="0037237B">
      <w:pPr>
        <w:pStyle w:val="Prrafodelista"/>
        <w:numPr>
          <w:ilvl w:val="2"/>
          <w:numId w:val="11"/>
        </w:numPr>
        <w:jc w:val="both"/>
        <w:rPr>
          <w:rFonts w:ascii="Garamond" w:eastAsia="Times New Roman" w:hAnsi="Garamond"/>
          <w:iCs/>
          <w:color w:val="000000"/>
        </w:rPr>
      </w:pPr>
      <w:r w:rsidRPr="002D5E14">
        <w:rPr>
          <w:rFonts w:ascii="Garamond" w:eastAsia="Calibri" w:hAnsi="Garamond"/>
          <w:lang w:val="en-US" w:eastAsia="ja-JP"/>
        </w:rPr>
        <w:t>Health</w:t>
      </w:r>
    </w:p>
    <w:p w14:paraId="2778D463" w14:textId="77777777" w:rsidR="00AB770C" w:rsidRPr="002D5E14" w:rsidRDefault="00CD3699" w:rsidP="00AB770C">
      <w:pPr>
        <w:pStyle w:val="Prrafodelista"/>
        <w:numPr>
          <w:ilvl w:val="3"/>
          <w:numId w:val="11"/>
        </w:numPr>
        <w:jc w:val="both"/>
        <w:rPr>
          <w:rFonts w:ascii="Garamond" w:eastAsia="Times New Roman" w:hAnsi="Garamond"/>
          <w:iCs/>
          <w:color w:val="000000"/>
        </w:rPr>
      </w:pPr>
      <w:r>
        <w:rPr>
          <w:rFonts w:ascii="Garamond" w:eastAsia="Times New Roman" w:hAnsi="Garamond"/>
          <w:iCs/>
          <w:color w:val="000000"/>
        </w:rPr>
        <w:t>Information on e</w:t>
      </w:r>
      <w:r w:rsidR="00AB770C" w:rsidRPr="002D5E14">
        <w:rPr>
          <w:rFonts w:ascii="Garamond" w:eastAsia="Times New Roman" w:hAnsi="Garamond"/>
          <w:iCs/>
          <w:color w:val="000000"/>
        </w:rPr>
        <w:t>xisting health systems</w:t>
      </w:r>
      <w:r w:rsidR="0006057D" w:rsidRPr="002D5E14">
        <w:rPr>
          <w:rFonts w:ascii="Garamond" w:eastAsia="Times New Roman" w:hAnsi="Garamond"/>
          <w:iCs/>
          <w:color w:val="000000"/>
        </w:rPr>
        <w:t>.</w:t>
      </w:r>
      <w:r w:rsidR="00AB770C" w:rsidRPr="002D5E14">
        <w:rPr>
          <w:rFonts w:ascii="Garamond" w:eastAsia="Times New Roman" w:hAnsi="Garamond"/>
          <w:iCs/>
          <w:color w:val="000000"/>
        </w:rPr>
        <w:t xml:space="preserve"> </w:t>
      </w:r>
    </w:p>
    <w:p w14:paraId="61789A67" w14:textId="77777777" w:rsidR="00AB770C" w:rsidRPr="002D5E14" w:rsidRDefault="00AB770C" w:rsidP="00AB770C">
      <w:pPr>
        <w:pStyle w:val="Prrafodelista"/>
        <w:numPr>
          <w:ilvl w:val="3"/>
          <w:numId w:val="11"/>
        </w:numPr>
        <w:jc w:val="both"/>
        <w:rPr>
          <w:rFonts w:ascii="Garamond" w:eastAsia="Times New Roman" w:hAnsi="Garamond"/>
          <w:iCs/>
          <w:color w:val="000000"/>
        </w:rPr>
      </w:pPr>
      <w:r w:rsidRPr="002D5E14">
        <w:rPr>
          <w:rFonts w:ascii="Garamond" w:eastAsia="Times New Roman" w:hAnsi="Garamond"/>
          <w:iCs/>
          <w:color w:val="000000"/>
        </w:rPr>
        <w:t xml:space="preserve">Information on what health systems </w:t>
      </w:r>
      <w:r w:rsidR="0006057D" w:rsidRPr="002D5E14">
        <w:rPr>
          <w:rFonts w:ascii="Garamond" w:eastAsia="Times New Roman" w:hAnsi="Garamond"/>
          <w:iCs/>
          <w:color w:val="000000"/>
        </w:rPr>
        <w:t>receive resources from the government.</w:t>
      </w:r>
    </w:p>
    <w:p w14:paraId="6AC84359" w14:textId="77777777" w:rsidR="00DD7F2F" w:rsidRPr="002D5E14" w:rsidRDefault="0006057D" w:rsidP="00DD7F2F">
      <w:pPr>
        <w:pStyle w:val="Prrafodelista"/>
        <w:numPr>
          <w:ilvl w:val="3"/>
          <w:numId w:val="11"/>
        </w:numPr>
        <w:jc w:val="both"/>
        <w:rPr>
          <w:rFonts w:ascii="Garamond" w:eastAsia="Times New Roman" w:hAnsi="Garamond"/>
          <w:iCs/>
          <w:color w:val="000000"/>
        </w:rPr>
      </w:pPr>
      <w:r w:rsidRPr="002D5E14">
        <w:rPr>
          <w:rFonts w:ascii="Garamond" w:eastAsia="Times New Roman" w:hAnsi="Garamond"/>
          <w:iCs/>
          <w:color w:val="000000"/>
        </w:rPr>
        <w:t>Information on usage</w:t>
      </w:r>
      <w:r w:rsidR="00DD7F2F" w:rsidRPr="002D5E14">
        <w:rPr>
          <w:rFonts w:ascii="Garamond" w:eastAsia="Times New Roman" w:hAnsi="Garamond"/>
          <w:iCs/>
          <w:color w:val="000000"/>
        </w:rPr>
        <w:t>.</w:t>
      </w:r>
    </w:p>
    <w:p w14:paraId="1FCC96AF" w14:textId="77777777" w:rsidR="00DD7F2F" w:rsidRPr="002D5E14" w:rsidRDefault="00DD7F2F" w:rsidP="00DD7F2F">
      <w:pPr>
        <w:pStyle w:val="Prrafodelista"/>
        <w:numPr>
          <w:ilvl w:val="3"/>
          <w:numId w:val="11"/>
        </w:numPr>
        <w:jc w:val="both"/>
        <w:rPr>
          <w:rFonts w:ascii="Garamond" w:eastAsia="Times New Roman" w:hAnsi="Garamond"/>
          <w:iCs/>
          <w:color w:val="000000"/>
        </w:rPr>
      </w:pPr>
      <w:r w:rsidRPr="002D5E14">
        <w:rPr>
          <w:rFonts w:ascii="Garamond" w:eastAsia="Calibri" w:hAnsi="Garamond"/>
          <w:lang w:eastAsia="ja-JP"/>
        </w:rPr>
        <w:t>I</w:t>
      </w:r>
      <w:proofErr w:type="spellStart"/>
      <w:r w:rsidRPr="002D5E14">
        <w:rPr>
          <w:rFonts w:ascii="Garamond" w:eastAsia="Calibri" w:hAnsi="Garamond"/>
          <w:lang w:val="en-US" w:eastAsia="ja-JP"/>
        </w:rPr>
        <w:t>nformation</w:t>
      </w:r>
      <w:proofErr w:type="spellEnd"/>
      <w:r w:rsidRPr="002D5E14">
        <w:rPr>
          <w:rFonts w:ascii="Garamond" w:eastAsia="Calibri" w:hAnsi="Garamond"/>
          <w:lang w:val="en-US" w:eastAsia="ja-JP"/>
        </w:rPr>
        <w:t xml:space="preserve"> on co-pays or other payments from households </w:t>
      </w:r>
      <w:r w:rsidR="00CD3699">
        <w:rPr>
          <w:rFonts w:ascii="Garamond" w:eastAsia="Calibri" w:hAnsi="Garamond"/>
          <w:lang w:val="en-US" w:eastAsia="ja-JP"/>
        </w:rPr>
        <w:t xml:space="preserve">that are </w:t>
      </w:r>
      <w:r w:rsidRPr="002D5E14">
        <w:rPr>
          <w:rFonts w:ascii="Garamond" w:eastAsia="Calibri" w:hAnsi="Garamond"/>
          <w:lang w:val="en-US" w:eastAsia="ja-JP"/>
        </w:rPr>
        <w:t xml:space="preserve">required to access public health services. Additionally, </w:t>
      </w:r>
      <w:r w:rsidR="0065491F" w:rsidRPr="002D5E14">
        <w:rPr>
          <w:rFonts w:ascii="Garamond" w:eastAsia="Calibri" w:hAnsi="Garamond"/>
          <w:lang w:val="en-US" w:eastAsia="ja-JP"/>
        </w:rPr>
        <w:t>information on</w:t>
      </w:r>
      <w:r w:rsidRPr="002D5E14">
        <w:rPr>
          <w:rFonts w:ascii="Garamond" w:eastAsia="Calibri" w:hAnsi="Garamond"/>
          <w:lang w:val="en-US" w:eastAsia="ja-JP"/>
        </w:rPr>
        <w:t xml:space="preserve"> spending channeled through health insurance schemes, including the payments by households to participate in these schemes</w:t>
      </w:r>
      <w:r w:rsidR="002F71AA" w:rsidRPr="002D5E14">
        <w:rPr>
          <w:rFonts w:ascii="Garamond" w:eastAsia="Calibri" w:hAnsi="Garamond"/>
          <w:lang w:val="en-US" w:eastAsia="ja-JP"/>
        </w:rPr>
        <w:t xml:space="preserve"> are desirable</w:t>
      </w:r>
      <w:r w:rsidRPr="002D5E14">
        <w:rPr>
          <w:rFonts w:ascii="Garamond" w:eastAsia="Calibri" w:hAnsi="Garamond"/>
          <w:lang w:val="en-US" w:eastAsia="ja-JP"/>
        </w:rPr>
        <w:t xml:space="preserve">. </w:t>
      </w:r>
    </w:p>
    <w:p w14:paraId="06BD7A0A" w14:textId="77777777" w:rsidR="00DD7F2F" w:rsidRPr="005C0172" w:rsidRDefault="00DD7F2F" w:rsidP="00DD7F2F">
      <w:pPr>
        <w:pStyle w:val="Prrafodelista"/>
        <w:ind w:left="2880"/>
        <w:jc w:val="both"/>
        <w:rPr>
          <w:rFonts w:ascii="Garamond" w:eastAsia="Times New Roman" w:hAnsi="Garamond"/>
          <w:iCs/>
          <w:color w:val="000000"/>
          <w:sz w:val="18"/>
          <w:szCs w:val="18"/>
        </w:rPr>
      </w:pPr>
    </w:p>
    <w:p w14:paraId="2DFF8988" w14:textId="77777777" w:rsidR="009A3DC5" w:rsidRPr="002474B9" w:rsidRDefault="009A3DC5" w:rsidP="005C0172">
      <w:pPr>
        <w:spacing w:after="200" w:line="276" w:lineRule="auto"/>
        <w:contextualSpacing/>
        <w:rPr>
          <w:rFonts w:ascii="Garamond" w:eastAsia="Calibri" w:hAnsi="Garamond"/>
          <w:sz w:val="18"/>
          <w:szCs w:val="18"/>
          <w:u w:val="single"/>
          <w:lang w:val="en-US" w:eastAsia="en-US"/>
        </w:rPr>
      </w:pPr>
    </w:p>
    <w:p w14:paraId="3F4BED37" w14:textId="77777777" w:rsidR="00EB5DBF" w:rsidRPr="002D21F5" w:rsidRDefault="00923876" w:rsidP="0066559E">
      <w:pPr>
        <w:pStyle w:val="Prrafodelista"/>
        <w:numPr>
          <w:ilvl w:val="0"/>
          <w:numId w:val="11"/>
        </w:numPr>
        <w:jc w:val="both"/>
        <w:rPr>
          <w:rFonts w:ascii="Garamond" w:eastAsia="Calibri" w:hAnsi="Garamond"/>
          <w:u w:val="single"/>
          <w:lang w:val="en-US" w:eastAsia="en-US"/>
        </w:rPr>
      </w:pPr>
      <w:r>
        <w:rPr>
          <w:rFonts w:ascii="Garamond" w:eastAsia="Calibri" w:hAnsi="Garamond"/>
          <w:lang w:val="en-US" w:eastAsia="en-US"/>
        </w:rPr>
        <w:t>The third component is an a</w:t>
      </w:r>
      <w:r w:rsidR="00172004" w:rsidRPr="00C979D6">
        <w:rPr>
          <w:rFonts w:ascii="Garamond" w:eastAsia="Calibri" w:hAnsi="Garamond"/>
          <w:lang w:val="en-US" w:eastAsia="en-US"/>
        </w:rPr>
        <w:t xml:space="preserve">udited or </w:t>
      </w:r>
      <w:r w:rsidR="00093F6E">
        <w:rPr>
          <w:rFonts w:ascii="Garamond" w:eastAsia="Calibri" w:hAnsi="Garamond"/>
          <w:lang w:val="en-US" w:eastAsia="en-US"/>
        </w:rPr>
        <w:t>executed</w:t>
      </w:r>
      <w:r w:rsidR="00172004" w:rsidRPr="00C979D6">
        <w:rPr>
          <w:rFonts w:ascii="Garamond" w:eastAsia="Calibri" w:hAnsi="Garamond"/>
          <w:lang w:val="en-US" w:eastAsia="en-US"/>
        </w:rPr>
        <w:t xml:space="preserve"> budget</w:t>
      </w:r>
      <w:r w:rsidR="00066DB9">
        <w:rPr>
          <w:rFonts w:ascii="Garamond" w:eastAsia="Calibri" w:hAnsi="Garamond"/>
          <w:lang w:val="en-US" w:eastAsia="en-US"/>
        </w:rPr>
        <w:t xml:space="preserve"> </w:t>
      </w:r>
      <w:r>
        <w:rPr>
          <w:rFonts w:ascii="Garamond" w:eastAsia="Calibri" w:hAnsi="Garamond"/>
          <w:lang w:val="en-US" w:eastAsia="en-US"/>
        </w:rPr>
        <w:t xml:space="preserve">for </w:t>
      </w:r>
      <w:r w:rsidR="00667626">
        <w:rPr>
          <w:rFonts w:ascii="Garamond" w:eastAsia="Calibri" w:hAnsi="Garamond"/>
          <w:lang w:val="en-US" w:eastAsia="en-US"/>
        </w:rPr>
        <w:t xml:space="preserve">the </w:t>
      </w:r>
      <w:r w:rsidR="005867FC">
        <w:rPr>
          <w:rFonts w:ascii="Garamond" w:eastAsia="Calibri" w:hAnsi="Garamond"/>
          <w:lang w:val="en-US" w:eastAsia="en-US"/>
        </w:rPr>
        <w:t>G</w:t>
      </w:r>
      <w:r w:rsidR="00667626">
        <w:rPr>
          <w:rFonts w:ascii="Garamond" w:eastAsia="Calibri" w:hAnsi="Garamond"/>
          <w:lang w:val="en-US" w:eastAsia="en-US"/>
        </w:rPr>
        <w:t xml:space="preserve">eneral </w:t>
      </w:r>
      <w:r w:rsidR="005867FC">
        <w:rPr>
          <w:rFonts w:ascii="Garamond" w:eastAsia="Calibri" w:hAnsi="Garamond"/>
          <w:lang w:val="en-US" w:eastAsia="en-US"/>
        </w:rPr>
        <w:t>G</w:t>
      </w:r>
      <w:r w:rsidR="00C015F4">
        <w:rPr>
          <w:rFonts w:ascii="Garamond" w:eastAsia="Calibri" w:hAnsi="Garamond"/>
          <w:lang w:val="en-US" w:eastAsia="en-US"/>
        </w:rPr>
        <w:t>overnment</w:t>
      </w:r>
      <w:r w:rsidR="00D33D68">
        <w:rPr>
          <w:rFonts w:ascii="Garamond" w:eastAsia="Calibri" w:hAnsi="Garamond"/>
          <w:lang w:val="en-US" w:eastAsia="en-US"/>
        </w:rPr>
        <w:t xml:space="preserve">, </w:t>
      </w:r>
      <w:r>
        <w:rPr>
          <w:rFonts w:ascii="Garamond" w:eastAsia="Calibri" w:hAnsi="Garamond"/>
          <w:lang w:val="en-US" w:eastAsia="en-US"/>
        </w:rPr>
        <w:t xml:space="preserve">or, </w:t>
      </w:r>
      <w:r w:rsidR="00D33D68">
        <w:rPr>
          <w:rFonts w:ascii="Garamond" w:eastAsia="Calibri" w:hAnsi="Garamond"/>
          <w:lang w:val="en-US" w:eastAsia="en-US"/>
        </w:rPr>
        <w:t xml:space="preserve">failing </w:t>
      </w:r>
      <w:r w:rsidR="00EB3DBE">
        <w:rPr>
          <w:rFonts w:ascii="Garamond" w:eastAsia="Calibri" w:hAnsi="Garamond"/>
          <w:lang w:val="en-US" w:eastAsia="en-US"/>
        </w:rPr>
        <w:t>this, information for the Central Government</w:t>
      </w:r>
      <w:r w:rsidR="00EB3DBE">
        <w:rPr>
          <w:rStyle w:val="Refdenotaalpie"/>
          <w:rFonts w:ascii="Garamond" w:eastAsia="Calibri" w:hAnsi="Garamond"/>
          <w:lang w:val="en-US" w:eastAsia="en-US"/>
        </w:rPr>
        <w:footnoteReference w:id="5"/>
      </w:r>
      <w:r>
        <w:rPr>
          <w:rFonts w:ascii="Garamond" w:eastAsia="Calibri" w:hAnsi="Garamond"/>
          <w:lang w:val="en-US" w:eastAsia="en-US"/>
        </w:rPr>
        <w:t>.</w:t>
      </w:r>
      <w:r w:rsidR="00110467" w:rsidRPr="00C979D6">
        <w:rPr>
          <w:rFonts w:ascii="Garamond" w:eastAsia="Calibri" w:hAnsi="Garamond"/>
          <w:lang w:val="en-US" w:eastAsia="en-US"/>
        </w:rPr>
        <w:t xml:space="preserve"> </w:t>
      </w:r>
      <w:r w:rsidR="005867FC">
        <w:rPr>
          <w:rFonts w:ascii="Garamond" w:eastAsia="Calibri" w:hAnsi="Garamond"/>
          <w:lang w:val="en-US" w:eastAsia="en-US"/>
        </w:rPr>
        <w:t>A</w:t>
      </w:r>
      <w:r w:rsidR="005867FC" w:rsidRPr="00C979D6">
        <w:rPr>
          <w:rFonts w:ascii="Garamond" w:eastAsia="Calibri" w:hAnsi="Garamond"/>
          <w:lang w:val="en-US" w:eastAsia="en-US"/>
        </w:rPr>
        <w:t xml:space="preserve">ggregated information about revenues </w:t>
      </w:r>
      <w:r w:rsidR="00CA2896" w:rsidRPr="00C979D6">
        <w:rPr>
          <w:rFonts w:ascii="Garamond" w:eastAsia="Calibri" w:hAnsi="Garamond"/>
          <w:lang w:val="en-US" w:eastAsia="en-US"/>
        </w:rPr>
        <w:t>and expenditures</w:t>
      </w:r>
      <w:r w:rsidR="005867FC" w:rsidRPr="00C979D6">
        <w:rPr>
          <w:rFonts w:ascii="Garamond" w:eastAsia="Calibri" w:hAnsi="Garamond"/>
          <w:lang w:val="en-US" w:eastAsia="en-US"/>
        </w:rPr>
        <w:t xml:space="preserve"> for the year of the analysis are </w:t>
      </w:r>
      <w:r>
        <w:rPr>
          <w:rFonts w:ascii="Garamond" w:eastAsia="Calibri" w:hAnsi="Garamond"/>
          <w:lang w:val="en-US" w:eastAsia="en-US"/>
        </w:rPr>
        <w:t>necessary</w:t>
      </w:r>
      <w:r w:rsidR="005867FC" w:rsidRPr="00C979D6">
        <w:rPr>
          <w:rFonts w:ascii="Garamond" w:eastAsia="Calibri" w:hAnsi="Garamond"/>
          <w:lang w:val="en-US" w:eastAsia="en-US"/>
        </w:rPr>
        <w:t>.</w:t>
      </w:r>
      <w:r w:rsidR="005867FC">
        <w:rPr>
          <w:rFonts w:ascii="Garamond" w:eastAsia="Calibri" w:hAnsi="Garamond"/>
          <w:lang w:val="en-US" w:eastAsia="en-US"/>
        </w:rPr>
        <w:t xml:space="preserve"> </w:t>
      </w:r>
      <w:r w:rsidR="00B43978">
        <w:rPr>
          <w:rFonts w:ascii="Garamond" w:eastAsia="Calibri" w:hAnsi="Garamond"/>
          <w:lang w:val="en-US" w:eastAsia="en-US"/>
        </w:rPr>
        <w:t xml:space="preserve">It is important to make clear if this information </w:t>
      </w:r>
      <w:r>
        <w:rPr>
          <w:rFonts w:ascii="Garamond" w:eastAsia="Calibri" w:hAnsi="Garamond"/>
          <w:lang w:val="en-US" w:eastAsia="en-US"/>
        </w:rPr>
        <w:t xml:space="preserve">refers </w:t>
      </w:r>
      <w:r w:rsidR="00B43978">
        <w:rPr>
          <w:rFonts w:ascii="Garamond" w:eastAsia="Calibri" w:hAnsi="Garamond"/>
          <w:lang w:val="en-US" w:eastAsia="en-US"/>
        </w:rPr>
        <w:t xml:space="preserve">to the General, </w:t>
      </w:r>
      <w:proofErr w:type="gramStart"/>
      <w:r w:rsidR="00B43978">
        <w:rPr>
          <w:rFonts w:ascii="Garamond" w:eastAsia="Calibri" w:hAnsi="Garamond"/>
          <w:lang w:val="en-US" w:eastAsia="en-US"/>
        </w:rPr>
        <w:t>Central</w:t>
      </w:r>
      <w:proofErr w:type="gramEnd"/>
      <w:r w:rsidR="00B43978">
        <w:rPr>
          <w:rFonts w:ascii="Garamond" w:eastAsia="Calibri" w:hAnsi="Garamond"/>
          <w:lang w:val="en-US" w:eastAsia="en-US"/>
        </w:rPr>
        <w:t xml:space="preserve"> or other government unit. </w:t>
      </w:r>
      <w:r w:rsidR="008641DF">
        <w:rPr>
          <w:rFonts w:ascii="Garamond" w:eastAsia="Calibri" w:hAnsi="Garamond"/>
          <w:lang w:val="en-US" w:eastAsia="en-US"/>
        </w:rPr>
        <w:t xml:space="preserve">The disaggregation </w:t>
      </w:r>
      <w:r w:rsidR="005867FC">
        <w:rPr>
          <w:rFonts w:ascii="Garamond" w:eastAsia="Calibri" w:hAnsi="Garamond"/>
          <w:lang w:val="en-US" w:eastAsia="en-US"/>
        </w:rPr>
        <w:t xml:space="preserve">of the information </w:t>
      </w:r>
      <w:r w:rsidR="008641DF">
        <w:rPr>
          <w:rFonts w:ascii="Garamond" w:eastAsia="Calibri" w:hAnsi="Garamond"/>
          <w:lang w:val="en-US" w:eastAsia="en-US"/>
        </w:rPr>
        <w:t xml:space="preserve">should </w:t>
      </w:r>
      <w:r w:rsidR="00B43978">
        <w:rPr>
          <w:rFonts w:ascii="Garamond" w:eastAsia="Calibri" w:hAnsi="Garamond"/>
          <w:lang w:val="en-US" w:eastAsia="en-US"/>
        </w:rPr>
        <w:t>be</w:t>
      </w:r>
      <w:r>
        <w:rPr>
          <w:rFonts w:ascii="Garamond" w:eastAsia="Calibri" w:hAnsi="Garamond"/>
          <w:lang w:val="en-US" w:eastAsia="en-US"/>
        </w:rPr>
        <w:t xml:space="preserve"> done</w:t>
      </w:r>
      <w:r w:rsidR="00B43978">
        <w:rPr>
          <w:rFonts w:ascii="Garamond" w:eastAsia="Calibri" w:hAnsi="Garamond"/>
          <w:lang w:val="en-US" w:eastAsia="en-US"/>
        </w:rPr>
        <w:t xml:space="preserve"> </w:t>
      </w:r>
      <w:r w:rsidR="008641DF">
        <w:rPr>
          <w:rFonts w:ascii="Garamond" w:eastAsia="Calibri" w:hAnsi="Garamond"/>
          <w:lang w:val="en-US" w:eastAsia="en-US"/>
        </w:rPr>
        <w:t>as</w:t>
      </w:r>
      <w:r>
        <w:rPr>
          <w:rFonts w:ascii="Garamond" w:eastAsia="Calibri" w:hAnsi="Garamond"/>
          <w:lang w:val="en-US" w:eastAsia="en-US"/>
        </w:rPr>
        <w:t xml:space="preserve"> shown in</w:t>
      </w:r>
      <w:r w:rsidR="008641DF">
        <w:rPr>
          <w:rFonts w:ascii="Garamond" w:eastAsia="Calibri" w:hAnsi="Garamond"/>
          <w:lang w:val="en-US" w:eastAsia="en-US"/>
        </w:rPr>
        <w:t xml:space="preserve"> Table </w:t>
      </w:r>
      <w:r w:rsidR="009E76A6">
        <w:rPr>
          <w:rFonts w:ascii="Garamond" w:eastAsia="Calibri" w:hAnsi="Garamond"/>
          <w:lang w:val="en-US" w:eastAsia="en-US"/>
        </w:rPr>
        <w:t>4-2</w:t>
      </w:r>
      <w:r w:rsidR="008641DF">
        <w:rPr>
          <w:rFonts w:ascii="Garamond" w:eastAsia="Calibri" w:hAnsi="Garamond"/>
          <w:lang w:val="en-US" w:eastAsia="en-US"/>
        </w:rPr>
        <w:t>.</w:t>
      </w:r>
      <w:r w:rsidR="00EB10CD" w:rsidRPr="00C979D6">
        <w:rPr>
          <w:rFonts w:ascii="Garamond" w:eastAsia="Calibri" w:hAnsi="Garamond"/>
          <w:lang w:val="en-US" w:eastAsia="en-US"/>
        </w:rPr>
        <w:t xml:space="preserve"> </w:t>
      </w:r>
      <w:r w:rsidR="005B1AE1" w:rsidRPr="002D5E14">
        <w:rPr>
          <w:rFonts w:ascii="Garamond" w:eastAsia="Calibri" w:hAnsi="Garamond"/>
          <w:lang w:val="en-US" w:eastAsia="ja-JP"/>
        </w:rPr>
        <w:t xml:space="preserve">The information </w:t>
      </w:r>
      <w:r w:rsidR="005B1AE1">
        <w:rPr>
          <w:rFonts w:ascii="Garamond" w:eastAsia="Calibri" w:hAnsi="Garamond"/>
          <w:lang w:val="en-US" w:eastAsia="ja-JP"/>
        </w:rPr>
        <w:t>in</w:t>
      </w:r>
      <w:r w:rsidR="005B1AE1" w:rsidRPr="002D5E14">
        <w:rPr>
          <w:rFonts w:ascii="Garamond" w:eastAsia="Calibri" w:hAnsi="Garamond"/>
          <w:lang w:val="en-US" w:eastAsia="ja-JP"/>
        </w:rPr>
        <w:t xml:space="preserve"> columns </w:t>
      </w:r>
      <w:r w:rsidR="005B1AE1">
        <w:rPr>
          <w:rFonts w:ascii="Garamond" w:eastAsia="Calibri" w:hAnsi="Garamond"/>
          <w:lang w:val="en-US" w:eastAsia="ja-JP"/>
        </w:rPr>
        <w:t xml:space="preserve">of Table 4-2 is </w:t>
      </w:r>
      <w:r w:rsidR="005B1AE1" w:rsidRPr="002D5E14">
        <w:rPr>
          <w:rFonts w:ascii="Garamond" w:eastAsia="Calibri" w:hAnsi="Garamond"/>
          <w:lang w:val="en-US" w:eastAsia="ja-JP"/>
        </w:rPr>
        <w:t xml:space="preserve">the same </w:t>
      </w:r>
      <w:r w:rsidR="005B1AE1">
        <w:rPr>
          <w:rFonts w:ascii="Garamond" w:eastAsia="Calibri" w:hAnsi="Garamond"/>
          <w:lang w:val="en-US" w:eastAsia="ja-JP"/>
        </w:rPr>
        <w:t xml:space="preserve">as the </w:t>
      </w:r>
      <w:r w:rsidR="005B1AE1" w:rsidRPr="002D5E14">
        <w:rPr>
          <w:rFonts w:ascii="Garamond" w:eastAsia="Calibri" w:hAnsi="Garamond"/>
          <w:lang w:val="en-US" w:eastAsia="ja-JP"/>
        </w:rPr>
        <w:t>information asked</w:t>
      </w:r>
      <w:r w:rsidR="005B1AE1">
        <w:rPr>
          <w:rFonts w:ascii="Garamond" w:eastAsia="Calibri" w:hAnsi="Garamond"/>
          <w:lang w:val="en-US" w:eastAsia="ja-JP"/>
        </w:rPr>
        <w:t xml:space="preserve"> for in sheet B3</w:t>
      </w:r>
      <w:r w:rsidR="005B1AE1" w:rsidRPr="002D5E14">
        <w:rPr>
          <w:rFonts w:ascii="Garamond" w:eastAsia="Calibri" w:hAnsi="Garamond"/>
          <w:lang w:val="en-US" w:eastAsia="ja-JP"/>
        </w:rPr>
        <w:t xml:space="preserve"> of the Master Workbook Section ABC</w:t>
      </w:r>
      <w:r w:rsidR="005B1AE1">
        <w:rPr>
          <w:rFonts w:ascii="Garamond" w:eastAsia="Calibri" w:hAnsi="Garamond"/>
          <w:lang w:val="en-US" w:eastAsia="ja-JP"/>
        </w:rPr>
        <w:t xml:space="preserve"> so this will save you time </w:t>
      </w:r>
      <w:proofErr w:type="gramStart"/>
      <w:r w:rsidR="005B1AE1">
        <w:rPr>
          <w:rFonts w:ascii="Garamond" w:eastAsia="Calibri" w:hAnsi="Garamond"/>
          <w:lang w:val="en-US" w:eastAsia="ja-JP"/>
        </w:rPr>
        <w:t>later on</w:t>
      </w:r>
      <w:proofErr w:type="gramEnd"/>
      <w:r w:rsidR="005B1AE1">
        <w:rPr>
          <w:rFonts w:ascii="Garamond" w:eastAsia="Calibri" w:hAnsi="Garamond"/>
          <w:lang w:val="en-US" w:eastAsia="ja-JP"/>
        </w:rPr>
        <w:t xml:space="preserve"> the completion of MWB ABC</w:t>
      </w:r>
      <w:r w:rsidR="005B1AE1" w:rsidRPr="002D5E14">
        <w:rPr>
          <w:rFonts w:ascii="Garamond" w:eastAsia="Calibri" w:hAnsi="Garamond"/>
          <w:lang w:val="en-US" w:eastAsia="ja-JP"/>
        </w:rPr>
        <w:t>.</w:t>
      </w:r>
      <w:r w:rsidR="005B1AE1">
        <w:rPr>
          <w:rFonts w:ascii="Garamond" w:eastAsia="Calibri" w:hAnsi="Garamond"/>
          <w:lang w:val="en-US" w:eastAsia="ja-JP"/>
        </w:rPr>
        <w:t xml:space="preserve"> </w:t>
      </w:r>
      <w:r w:rsidR="00EB10CD" w:rsidRPr="00C979D6">
        <w:rPr>
          <w:rFonts w:ascii="Garamond" w:eastAsia="Calibri" w:hAnsi="Garamond"/>
          <w:lang w:val="en-US" w:eastAsia="en-US"/>
        </w:rPr>
        <w:t xml:space="preserve">It is advisable to compare the second column of the </w:t>
      </w:r>
      <w:r w:rsidR="009E76A6">
        <w:rPr>
          <w:rFonts w:ascii="Garamond" w:eastAsia="Calibri" w:hAnsi="Garamond"/>
          <w:lang w:val="en-US" w:eastAsia="en-US"/>
        </w:rPr>
        <w:t>T</w:t>
      </w:r>
      <w:r w:rsidR="00EB10CD" w:rsidRPr="00C979D6">
        <w:rPr>
          <w:rFonts w:ascii="Garamond" w:eastAsia="Calibri" w:hAnsi="Garamond"/>
          <w:lang w:val="en-US" w:eastAsia="en-US"/>
        </w:rPr>
        <w:t xml:space="preserve">able </w:t>
      </w:r>
      <w:r w:rsidR="009E76A6">
        <w:rPr>
          <w:rFonts w:ascii="Garamond" w:eastAsia="Calibri" w:hAnsi="Garamond"/>
          <w:lang w:val="en-US" w:eastAsia="en-US"/>
        </w:rPr>
        <w:t xml:space="preserve">4-2 </w:t>
      </w:r>
      <w:r w:rsidR="00EB10CD" w:rsidRPr="00C979D6">
        <w:rPr>
          <w:rFonts w:ascii="Garamond" w:eastAsia="Calibri" w:hAnsi="Garamond"/>
          <w:lang w:val="en-US" w:eastAsia="en-US"/>
        </w:rPr>
        <w:t>to the I</w:t>
      </w:r>
      <w:r w:rsidR="002474B9" w:rsidRPr="00C979D6">
        <w:rPr>
          <w:rFonts w:ascii="Garamond" w:eastAsia="Calibri" w:hAnsi="Garamond"/>
          <w:lang w:val="en-US" w:eastAsia="en-US"/>
        </w:rPr>
        <w:t>nformation published by the IMF</w:t>
      </w:r>
      <w:r w:rsidR="00EB10CD" w:rsidRPr="00C979D6">
        <w:rPr>
          <w:rFonts w:ascii="Garamond" w:eastAsia="Calibri" w:hAnsi="Garamond"/>
          <w:lang w:val="en-US" w:eastAsia="en-US"/>
        </w:rPr>
        <w:t xml:space="preserve"> </w:t>
      </w:r>
      <w:r w:rsidR="002474B9" w:rsidRPr="00C979D6">
        <w:rPr>
          <w:rFonts w:ascii="Garamond" w:eastAsia="Calibri" w:hAnsi="Garamond"/>
          <w:lang w:val="en-US" w:eastAsia="en-US"/>
        </w:rPr>
        <w:t xml:space="preserve">in the </w:t>
      </w:r>
      <w:r w:rsidR="009F1F3D">
        <w:rPr>
          <w:rFonts w:ascii="Garamond" w:eastAsia="Calibri" w:hAnsi="Garamond"/>
          <w:lang w:val="en-US" w:eastAsia="en-US"/>
        </w:rPr>
        <w:t>A</w:t>
      </w:r>
      <w:r w:rsidR="002474B9" w:rsidRPr="00C979D6">
        <w:rPr>
          <w:rFonts w:ascii="Garamond" w:eastAsia="Calibri" w:hAnsi="Garamond"/>
          <w:lang w:val="en-US" w:eastAsia="en-US"/>
        </w:rPr>
        <w:t>rticle IV</w:t>
      </w:r>
      <w:r w:rsidR="00221119">
        <w:rPr>
          <w:rFonts w:ascii="Garamond" w:eastAsia="Calibri" w:hAnsi="Garamond"/>
          <w:lang w:val="en-US" w:eastAsia="en-US"/>
        </w:rPr>
        <w:t xml:space="preserve"> Consultation</w:t>
      </w:r>
      <w:r w:rsidR="002474B9" w:rsidRPr="00C979D6">
        <w:rPr>
          <w:rFonts w:ascii="Garamond" w:eastAsia="Calibri" w:hAnsi="Garamond"/>
          <w:lang w:val="en-US" w:eastAsia="en-US"/>
        </w:rPr>
        <w:t xml:space="preserve"> </w:t>
      </w:r>
      <w:r w:rsidR="009F1F3D">
        <w:rPr>
          <w:rFonts w:ascii="Garamond" w:eastAsia="Calibri" w:hAnsi="Garamond"/>
          <w:lang w:val="en-US" w:eastAsia="en-US"/>
        </w:rPr>
        <w:t xml:space="preserve">Report </w:t>
      </w:r>
      <w:r w:rsidR="002474B9" w:rsidRPr="00C979D6">
        <w:rPr>
          <w:rFonts w:ascii="Garamond" w:eastAsia="Calibri" w:hAnsi="Garamond"/>
          <w:lang w:val="en-US" w:eastAsia="en-US"/>
        </w:rPr>
        <w:t>of each country.</w:t>
      </w:r>
      <w:r w:rsidR="00B43978">
        <w:rPr>
          <w:rFonts w:ascii="Garamond" w:eastAsia="Calibri" w:hAnsi="Garamond"/>
          <w:lang w:val="en-US" w:eastAsia="en-US"/>
        </w:rPr>
        <w:t xml:space="preserve"> </w:t>
      </w:r>
    </w:p>
    <w:p w14:paraId="5ED82368" w14:textId="77777777" w:rsidR="00172004" w:rsidRDefault="00172004" w:rsidP="00B43978">
      <w:pPr>
        <w:pStyle w:val="Prrafodelista"/>
        <w:jc w:val="both"/>
        <w:rPr>
          <w:rFonts w:ascii="Garamond" w:eastAsia="Calibri" w:hAnsi="Garamond"/>
          <w:u w:val="single"/>
          <w:lang w:eastAsia="en-US"/>
        </w:rPr>
      </w:pPr>
    </w:p>
    <w:p w14:paraId="24D3311D" w14:textId="77777777" w:rsidR="009E76A6" w:rsidRPr="00F74EA5" w:rsidRDefault="009E76A6" w:rsidP="00B43978">
      <w:pPr>
        <w:pStyle w:val="Prrafodelista"/>
        <w:jc w:val="both"/>
        <w:rPr>
          <w:rFonts w:ascii="Garamond" w:eastAsia="Calibri" w:hAnsi="Garamond"/>
          <w:u w:val="single"/>
          <w:lang w:eastAsia="en-US"/>
        </w:rPr>
      </w:pPr>
      <w:r>
        <w:rPr>
          <w:rFonts w:ascii="Garamond" w:eastAsia="Calibri" w:hAnsi="Garamond"/>
          <w:u w:val="single"/>
          <w:lang w:eastAsia="en-US"/>
        </w:rPr>
        <w:lastRenderedPageBreak/>
        <w:t>Table 4-2</w:t>
      </w:r>
    </w:p>
    <w:tbl>
      <w:tblPr>
        <w:tblW w:w="0" w:type="auto"/>
        <w:tblInd w:w="899" w:type="dxa"/>
        <w:tblLayout w:type="fixed"/>
        <w:tblLook w:val="04A0" w:firstRow="1" w:lastRow="0" w:firstColumn="1" w:lastColumn="0" w:noHBand="0" w:noVBand="1"/>
      </w:tblPr>
      <w:tblGrid>
        <w:gridCol w:w="5030"/>
        <w:gridCol w:w="1440"/>
        <w:gridCol w:w="1440"/>
      </w:tblGrid>
      <w:tr w:rsidR="005B1AE1" w:rsidRPr="00110467" w14:paraId="5096972A" w14:textId="77777777" w:rsidTr="005B1AE1">
        <w:trPr>
          <w:trHeight w:val="144"/>
        </w:trPr>
        <w:tc>
          <w:tcPr>
            <w:tcW w:w="5030" w:type="dxa"/>
            <w:tcBorders>
              <w:top w:val="single" w:sz="8" w:space="0" w:color="auto"/>
              <w:left w:val="single" w:sz="8" w:space="0" w:color="auto"/>
              <w:bottom w:val="nil"/>
              <w:right w:val="single" w:sz="8" w:space="0" w:color="auto"/>
            </w:tcBorders>
            <w:shd w:val="clear" w:color="000000" w:fill="4F81BD"/>
            <w:vAlign w:val="center"/>
            <w:hideMark/>
          </w:tcPr>
          <w:p w14:paraId="550FE154" w14:textId="77777777" w:rsidR="005B1AE1" w:rsidRPr="00110467" w:rsidRDefault="005B1AE1" w:rsidP="00C91530">
            <w:pPr>
              <w:jc w:val="center"/>
              <w:rPr>
                <w:rFonts w:ascii="Garamond" w:eastAsia="Times New Roman" w:hAnsi="Garamond"/>
                <w:b/>
                <w:bCs/>
                <w:color w:val="FFFFFF"/>
                <w:sz w:val="16"/>
                <w:szCs w:val="16"/>
              </w:rPr>
            </w:pPr>
            <w:r w:rsidRPr="00110467">
              <w:rPr>
                <w:rFonts w:ascii="Garamond" w:eastAsia="Times New Roman" w:hAnsi="Garamond"/>
                <w:b/>
                <w:bCs/>
                <w:color w:val="FFFFFF"/>
                <w:sz w:val="16"/>
                <w:szCs w:val="16"/>
              </w:rPr>
              <w:t>Government Revenue &amp; Spending</w:t>
            </w:r>
          </w:p>
        </w:tc>
        <w:tc>
          <w:tcPr>
            <w:tcW w:w="1440" w:type="dxa"/>
            <w:tcBorders>
              <w:top w:val="single" w:sz="8" w:space="0" w:color="auto"/>
              <w:left w:val="nil"/>
              <w:bottom w:val="single" w:sz="8" w:space="0" w:color="auto"/>
              <w:right w:val="single" w:sz="8" w:space="0" w:color="auto"/>
            </w:tcBorders>
            <w:shd w:val="clear" w:color="000000" w:fill="4F81BD"/>
            <w:vAlign w:val="center"/>
            <w:hideMark/>
          </w:tcPr>
          <w:p w14:paraId="5D442B68" w14:textId="77777777" w:rsidR="005B1AE1" w:rsidRPr="00110467" w:rsidRDefault="005B1AE1" w:rsidP="00C91530">
            <w:pPr>
              <w:jc w:val="center"/>
              <w:rPr>
                <w:rFonts w:ascii="Garamond" w:eastAsia="Times New Roman" w:hAnsi="Garamond"/>
                <w:color w:val="FFFFFF"/>
                <w:sz w:val="16"/>
                <w:szCs w:val="16"/>
              </w:rPr>
            </w:pPr>
            <w:r w:rsidRPr="00110467">
              <w:rPr>
                <w:rFonts w:ascii="Garamond" w:eastAsia="Times New Roman" w:hAnsi="Garamond"/>
                <w:color w:val="FFFFFF"/>
                <w:sz w:val="16"/>
                <w:szCs w:val="16"/>
              </w:rPr>
              <w:t>Currency Amounts in Administ</w:t>
            </w:r>
            <w:r>
              <w:rPr>
                <w:rFonts w:ascii="Garamond" w:eastAsia="Times New Roman" w:hAnsi="Garamond"/>
                <w:color w:val="FFFFFF"/>
                <w:sz w:val="16"/>
                <w:szCs w:val="16"/>
              </w:rPr>
              <w:t>rative</w:t>
            </w:r>
            <w:r w:rsidRPr="00110467">
              <w:rPr>
                <w:rFonts w:ascii="Garamond" w:eastAsia="Times New Roman" w:hAnsi="Garamond"/>
                <w:color w:val="FFFFFF"/>
                <w:sz w:val="16"/>
                <w:szCs w:val="16"/>
              </w:rPr>
              <w:t xml:space="preserve"> Accounts</w:t>
            </w:r>
          </w:p>
        </w:tc>
        <w:tc>
          <w:tcPr>
            <w:tcW w:w="1440" w:type="dxa"/>
            <w:tcBorders>
              <w:top w:val="single" w:sz="8" w:space="0" w:color="auto"/>
              <w:left w:val="nil"/>
              <w:bottom w:val="single" w:sz="8" w:space="0" w:color="auto"/>
              <w:right w:val="single" w:sz="8" w:space="0" w:color="auto"/>
            </w:tcBorders>
            <w:shd w:val="clear" w:color="000000" w:fill="4F81BD"/>
            <w:vAlign w:val="center"/>
            <w:hideMark/>
          </w:tcPr>
          <w:p w14:paraId="1B421118" w14:textId="77777777" w:rsidR="005B1AE1" w:rsidRPr="00110467" w:rsidRDefault="005B1AE1" w:rsidP="005B1AE1">
            <w:pPr>
              <w:rPr>
                <w:rFonts w:ascii="Garamond" w:eastAsia="Times New Roman" w:hAnsi="Garamond"/>
                <w:color w:val="FFFFFF"/>
                <w:sz w:val="16"/>
                <w:szCs w:val="16"/>
              </w:rPr>
            </w:pPr>
            <w:r w:rsidRPr="00110467">
              <w:rPr>
                <w:rFonts w:ascii="Garamond" w:eastAsia="Times New Roman" w:hAnsi="Garamond"/>
                <w:color w:val="FFFFFF"/>
                <w:sz w:val="16"/>
                <w:szCs w:val="16"/>
              </w:rPr>
              <w:t>Total (% of GDP)</w:t>
            </w:r>
          </w:p>
        </w:tc>
      </w:tr>
      <w:tr w:rsidR="005B1AE1" w:rsidRPr="00110467" w14:paraId="4080E21E" w14:textId="77777777" w:rsidTr="005B1AE1">
        <w:trPr>
          <w:trHeight w:val="115"/>
        </w:trPr>
        <w:tc>
          <w:tcPr>
            <w:tcW w:w="5030" w:type="dxa"/>
            <w:tcBorders>
              <w:top w:val="single" w:sz="8" w:space="0" w:color="auto"/>
              <w:left w:val="single" w:sz="8" w:space="0" w:color="auto"/>
              <w:bottom w:val="nil"/>
              <w:right w:val="single" w:sz="8" w:space="0" w:color="auto"/>
            </w:tcBorders>
            <w:shd w:val="clear" w:color="auto" w:fill="auto"/>
            <w:noWrap/>
            <w:hideMark/>
          </w:tcPr>
          <w:p w14:paraId="3C32111B" w14:textId="77777777" w:rsidR="005B1AE1" w:rsidRPr="00110467" w:rsidRDefault="005B1AE1" w:rsidP="00C91530">
            <w:pPr>
              <w:rPr>
                <w:rFonts w:ascii="Garamond" w:eastAsia="Times New Roman" w:hAnsi="Garamond"/>
                <w:b/>
                <w:bCs/>
                <w:color w:val="000000"/>
                <w:sz w:val="16"/>
                <w:szCs w:val="16"/>
              </w:rPr>
            </w:pPr>
            <w:r w:rsidRPr="00110467">
              <w:rPr>
                <w:rFonts w:ascii="Garamond" w:eastAsia="Times New Roman" w:hAnsi="Garamond"/>
                <w:b/>
                <w:bCs/>
                <w:color w:val="000000"/>
                <w:sz w:val="16"/>
                <w:szCs w:val="16"/>
              </w:rPr>
              <w:t>Total Revenue &amp; Grants</w:t>
            </w:r>
          </w:p>
        </w:tc>
        <w:tc>
          <w:tcPr>
            <w:tcW w:w="1440" w:type="dxa"/>
            <w:tcBorders>
              <w:top w:val="nil"/>
              <w:left w:val="nil"/>
              <w:bottom w:val="nil"/>
              <w:right w:val="single" w:sz="4" w:space="0" w:color="auto"/>
            </w:tcBorders>
            <w:shd w:val="clear" w:color="auto" w:fill="auto"/>
            <w:noWrap/>
            <w:hideMark/>
          </w:tcPr>
          <w:p w14:paraId="67C71365"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5B3FFAAF"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54783C00"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2B6F6ADF"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Revenue</w:t>
            </w:r>
          </w:p>
        </w:tc>
        <w:tc>
          <w:tcPr>
            <w:tcW w:w="1440" w:type="dxa"/>
            <w:tcBorders>
              <w:top w:val="nil"/>
              <w:left w:val="nil"/>
              <w:bottom w:val="nil"/>
              <w:right w:val="single" w:sz="4" w:space="0" w:color="auto"/>
            </w:tcBorders>
            <w:shd w:val="clear" w:color="auto" w:fill="auto"/>
            <w:noWrap/>
            <w:hideMark/>
          </w:tcPr>
          <w:p w14:paraId="6C63BBE9"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492CBDC0"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288EFCFC"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23A2B042" w14:textId="77777777" w:rsidR="005B1AE1" w:rsidRPr="00110467" w:rsidRDefault="005B1AE1" w:rsidP="00EB10CD">
            <w:pPr>
              <w:ind w:firstLine="510"/>
              <w:rPr>
                <w:rFonts w:ascii="Garamond" w:eastAsia="Times New Roman" w:hAnsi="Garamond"/>
                <w:color w:val="000000"/>
                <w:sz w:val="16"/>
                <w:szCs w:val="16"/>
              </w:rPr>
            </w:pPr>
            <w:r w:rsidRPr="00110467">
              <w:rPr>
                <w:rFonts w:ascii="Garamond" w:eastAsia="Times New Roman" w:hAnsi="Garamond"/>
                <w:color w:val="000000"/>
                <w:sz w:val="16"/>
                <w:szCs w:val="16"/>
              </w:rPr>
              <w:t>Tax Revenue</w:t>
            </w:r>
          </w:p>
        </w:tc>
        <w:tc>
          <w:tcPr>
            <w:tcW w:w="1440" w:type="dxa"/>
            <w:tcBorders>
              <w:top w:val="nil"/>
              <w:left w:val="nil"/>
              <w:bottom w:val="nil"/>
              <w:right w:val="single" w:sz="4" w:space="0" w:color="auto"/>
            </w:tcBorders>
            <w:shd w:val="clear" w:color="auto" w:fill="auto"/>
            <w:noWrap/>
            <w:hideMark/>
          </w:tcPr>
          <w:p w14:paraId="335088CD"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339CFC7C"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1378055B" w14:textId="77777777" w:rsidTr="005B1AE1">
        <w:trPr>
          <w:trHeight w:val="198"/>
        </w:trPr>
        <w:tc>
          <w:tcPr>
            <w:tcW w:w="5030" w:type="dxa"/>
            <w:tcBorders>
              <w:top w:val="nil"/>
              <w:left w:val="single" w:sz="8" w:space="0" w:color="auto"/>
              <w:bottom w:val="nil"/>
              <w:right w:val="single" w:sz="8" w:space="0" w:color="auto"/>
            </w:tcBorders>
            <w:shd w:val="clear" w:color="auto" w:fill="auto"/>
            <w:noWrap/>
            <w:hideMark/>
          </w:tcPr>
          <w:p w14:paraId="108C2485" w14:textId="77777777" w:rsidR="005B1AE1" w:rsidRPr="00110467" w:rsidRDefault="005B1AE1" w:rsidP="00EB10CD">
            <w:pPr>
              <w:ind w:firstLine="780"/>
              <w:rPr>
                <w:rFonts w:ascii="Garamond" w:eastAsia="Times New Roman" w:hAnsi="Garamond"/>
                <w:color w:val="000000"/>
                <w:sz w:val="16"/>
                <w:szCs w:val="16"/>
              </w:rPr>
            </w:pPr>
            <w:r w:rsidRPr="00110467">
              <w:rPr>
                <w:rFonts w:ascii="Garamond" w:eastAsia="Times New Roman" w:hAnsi="Garamond"/>
                <w:color w:val="000000"/>
                <w:sz w:val="16"/>
                <w:szCs w:val="16"/>
              </w:rPr>
              <w:t xml:space="preserve">Direct taxes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6B61B50A"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1E6B3FB7"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73BD1778"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7E723E89"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Personal Income Tax</w:t>
            </w:r>
          </w:p>
        </w:tc>
        <w:tc>
          <w:tcPr>
            <w:tcW w:w="1440" w:type="dxa"/>
            <w:tcBorders>
              <w:top w:val="nil"/>
              <w:left w:val="nil"/>
              <w:bottom w:val="nil"/>
              <w:right w:val="single" w:sz="4" w:space="0" w:color="auto"/>
            </w:tcBorders>
            <w:shd w:val="clear" w:color="auto" w:fill="auto"/>
            <w:noWrap/>
            <w:hideMark/>
          </w:tcPr>
          <w:p w14:paraId="7FD5FCBC"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4F4DB8F3"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7BD42C4F"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383A4497"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Corporate Income Tax</w:t>
            </w:r>
          </w:p>
        </w:tc>
        <w:tc>
          <w:tcPr>
            <w:tcW w:w="1440" w:type="dxa"/>
            <w:tcBorders>
              <w:top w:val="nil"/>
              <w:left w:val="nil"/>
              <w:bottom w:val="nil"/>
              <w:right w:val="single" w:sz="4" w:space="0" w:color="auto"/>
            </w:tcBorders>
            <w:shd w:val="clear" w:color="auto" w:fill="auto"/>
            <w:noWrap/>
            <w:hideMark/>
          </w:tcPr>
          <w:p w14:paraId="2E662135"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1F14CB9E"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49A11BD3"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15B4D095"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Payroll Tax</w:t>
            </w:r>
          </w:p>
        </w:tc>
        <w:tc>
          <w:tcPr>
            <w:tcW w:w="1440" w:type="dxa"/>
            <w:tcBorders>
              <w:top w:val="nil"/>
              <w:left w:val="nil"/>
              <w:bottom w:val="nil"/>
              <w:right w:val="single" w:sz="4" w:space="0" w:color="auto"/>
            </w:tcBorders>
            <w:shd w:val="clear" w:color="auto" w:fill="auto"/>
            <w:noWrap/>
            <w:hideMark/>
          </w:tcPr>
          <w:p w14:paraId="54B29D99"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6354DCA2"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4A74D2E3" w14:textId="77777777" w:rsidTr="005B1AE1">
        <w:trPr>
          <w:trHeight w:val="198"/>
        </w:trPr>
        <w:tc>
          <w:tcPr>
            <w:tcW w:w="5030" w:type="dxa"/>
            <w:tcBorders>
              <w:top w:val="nil"/>
              <w:left w:val="single" w:sz="8" w:space="0" w:color="auto"/>
              <w:bottom w:val="nil"/>
              <w:right w:val="single" w:sz="8" w:space="0" w:color="auto"/>
            </w:tcBorders>
            <w:shd w:val="clear" w:color="auto" w:fill="auto"/>
            <w:noWrap/>
            <w:hideMark/>
          </w:tcPr>
          <w:p w14:paraId="44B559D9"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Taxes on Property</w:t>
            </w:r>
          </w:p>
        </w:tc>
        <w:tc>
          <w:tcPr>
            <w:tcW w:w="1440" w:type="dxa"/>
            <w:tcBorders>
              <w:top w:val="nil"/>
              <w:left w:val="nil"/>
              <w:bottom w:val="nil"/>
              <w:right w:val="single" w:sz="4" w:space="0" w:color="auto"/>
            </w:tcBorders>
            <w:shd w:val="clear" w:color="auto" w:fill="auto"/>
            <w:noWrap/>
            <w:hideMark/>
          </w:tcPr>
          <w:p w14:paraId="7C44BEC2"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74570C03"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41732996"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7ECB3BC8" w14:textId="77777777" w:rsidR="005B1AE1" w:rsidRPr="00110467" w:rsidRDefault="005B1AE1" w:rsidP="00EB10CD">
            <w:pPr>
              <w:ind w:firstLine="780"/>
              <w:rPr>
                <w:rFonts w:ascii="Garamond" w:eastAsia="Times New Roman" w:hAnsi="Garamond"/>
                <w:color w:val="000000"/>
                <w:sz w:val="16"/>
                <w:szCs w:val="16"/>
              </w:rPr>
            </w:pPr>
            <w:r w:rsidRPr="00110467">
              <w:rPr>
                <w:rFonts w:ascii="Garamond" w:eastAsia="Times New Roman" w:hAnsi="Garamond"/>
                <w:color w:val="000000"/>
                <w:sz w:val="16"/>
                <w:szCs w:val="16"/>
              </w:rPr>
              <w:t xml:space="preserve">Contributions to Social Insurance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55C16862" w14:textId="77777777" w:rsidR="005B1AE1" w:rsidRPr="00110467" w:rsidRDefault="005B1AE1" w:rsidP="00C91530">
            <w:pPr>
              <w:rPr>
                <w:rFonts w:ascii="Garamond" w:eastAsia="Times New Roman" w:hAnsi="Garamond"/>
                <w:color w:val="000000"/>
                <w:sz w:val="16"/>
                <w:szCs w:val="16"/>
              </w:rPr>
            </w:pPr>
            <w:r w:rsidRPr="00110467">
              <w:rPr>
                <w:rFonts w:ascii="Garamond" w:eastAsia="Times New Roman" w:hAnsi="Garamond"/>
                <w:color w:val="000000"/>
                <w:sz w:val="16"/>
                <w:szCs w:val="16"/>
              </w:rPr>
              <w:t> </w:t>
            </w:r>
          </w:p>
        </w:tc>
        <w:tc>
          <w:tcPr>
            <w:tcW w:w="1440" w:type="dxa"/>
            <w:tcBorders>
              <w:top w:val="nil"/>
              <w:left w:val="nil"/>
              <w:bottom w:val="nil"/>
              <w:right w:val="single" w:sz="8" w:space="0" w:color="auto"/>
            </w:tcBorders>
            <w:shd w:val="clear" w:color="auto" w:fill="auto"/>
            <w:noWrap/>
            <w:hideMark/>
          </w:tcPr>
          <w:p w14:paraId="77CE53D6"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6A6113C5"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7A0F283F"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From Employees</w:t>
            </w:r>
          </w:p>
        </w:tc>
        <w:tc>
          <w:tcPr>
            <w:tcW w:w="1440" w:type="dxa"/>
            <w:tcBorders>
              <w:top w:val="nil"/>
              <w:left w:val="nil"/>
              <w:bottom w:val="nil"/>
              <w:right w:val="single" w:sz="4" w:space="0" w:color="auto"/>
            </w:tcBorders>
            <w:shd w:val="clear" w:color="auto" w:fill="auto"/>
            <w:noWrap/>
            <w:hideMark/>
          </w:tcPr>
          <w:p w14:paraId="3287E10A" w14:textId="77777777" w:rsidR="005B1AE1" w:rsidRPr="00110467" w:rsidRDefault="005B1AE1" w:rsidP="00C91530">
            <w:pPr>
              <w:rPr>
                <w:rFonts w:ascii="Garamond" w:eastAsia="Times New Roman" w:hAnsi="Garamond"/>
                <w:color w:val="000000"/>
                <w:sz w:val="16"/>
                <w:szCs w:val="16"/>
              </w:rPr>
            </w:pPr>
            <w:r w:rsidRPr="00110467">
              <w:rPr>
                <w:rFonts w:ascii="Garamond" w:eastAsia="Times New Roman" w:hAnsi="Garamond"/>
                <w:color w:val="000000"/>
                <w:sz w:val="16"/>
                <w:szCs w:val="16"/>
              </w:rPr>
              <w:t> </w:t>
            </w:r>
          </w:p>
        </w:tc>
        <w:tc>
          <w:tcPr>
            <w:tcW w:w="1440" w:type="dxa"/>
            <w:tcBorders>
              <w:top w:val="nil"/>
              <w:left w:val="nil"/>
              <w:bottom w:val="nil"/>
              <w:right w:val="single" w:sz="8" w:space="0" w:color="auto"/>
            </w:tcBorders>
            <w:shd w:val="clear" w:color="auto" w:fill="auto"/>
            <w:noWrap/>
            <w:hideMark/>
          </w:tcPr>
          <w:p w14:paraId="21D102B1"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0E379FBA"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294053BF"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From Employers</w:t>
            </w:r>
          </w:p>
        </w:tc>
        <w:tc>
          <w:tcPr>
            <w:tcW w:w="1440" w:type="dxa"/>
            <w:tcBorders>
              <w:top w:val="nil"/>
              <w:left w:val="nil"/>
              <w:bottom w:val="nil"/>
              <w:right w:val="single" w:sz="4" w:space="0" w:color="auto"/>
            </w:tcBorders>
            <w:shd w:val="clear" w:color="auto" w:fill="auto"/>
            <w:noWrap/>
            <w:hideMark/>
          </w:tcPr>
          <w:p w14:paraId="23D97E6F" w14:textId="77777777" w:rsidR="005B1AE1" w:rsidRPr="00110467" w:rsidRDefault="005B1AE1" w:rsidP="00C91530">
            <w:pPr>
              <w:rPr>
                <w:rFonts w:ascii="Garamond" w:eastAsia="Times New Roman" w:hAnsi="Garamond"/>
                <w:color w:val="000000"/>
                <w:sz w:val="16"/>
                <w:szCs w:val="16"/>
              </w:rPr>
            </w:pPr>
            <w:r w:rsidRPr="00110467">
              <w:rPr>
                <w:rFonts w:ascii="Garamond" w:eastAsia="Times New Roman" w:hAnsi="Garamond"/>
                <w:color w:val="000000"/>
                <w:sz w:val="16"/>
                <w:szCs w:val="16"/>
              </w:rPr>
              <w:t> </w:t>
            </w:r>
          </w:p>
        </w:tc>
        <w:tc>
          <w:tcPr>
            <w:tcW w:w="1440" w:type="dxa"/>
            <w:tcBorders>
              <w:top w:val="nil"/>
              <w:left w:val="nil"/>
              <w:bottom w:val="nil"/>
              <w:right w:val="single" w:sz="8" w:space="0" w:color="auto"/>
            </w:tcBorders>
            <w:shd w:val="clear" w:color="auto" w:fill="auto"/>
            <w:noWrap/>
            <w:hideMark/>
          </w:tcPr>
          <w:p w14:paraId="69D43D11"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1ED64840"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06F7614A"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From Self-Employed</w:t>
            </w:r>
          </w:p>
        </w:tc>
        <w:tc>
          <w:tcPr>
            <w:tcW w:w="1440" w:type="dxa"/>
            <w:tcBorders>
              <w:top w:val="nil"/>
              <w:left w:val="nil"/>
              <w:bottom w:val="nil"/>
              <w:right w:val="single" w:sz="4" w:space="0" w:color="auto"/>
            </w:tcBorders>
            <w:shd w:val="clear" w:color="auto" w:fill="auto"/>
            <w:noWrap/>
            <w:hideMark/>
          </w:tcPr>
          <w:p w14:paraId="5B5C08A2" w14:textId="77777777" w:rsidR="005B1AE1" w:rsidRPr="00110467" w:rsidRDefault="005B1AE1" w:rsidP="00C91530">
            <w:pPr>
              <w:rPr>
                <w:rFonts w:ascii="Garamond" w:eastAsia="Times New Roman" w:hAnsi="Garamond"/>
                <w:color w:val="000000"/>
                <w:sz w:val="16"/>
                <w:szCs w:val="16"/>
              </w:rPr>
            </w:pPr>
            <w:r w:rsidRPr="00110467">
              <w:rPr>
                <w:rFonts w:ascii="Garamond" w:eastAsia="Times New Roman" w:hAnsi="Garamond"/>
                <w:color w:val="000000"/>
                <w:sz w:val="16"/>
                <w:szCs w:val="16"/>
              </w:rPr>
              <w:t> </w:t>
            </w:r>
          </w:p>
        </w:tc>
        <w:tc>
          <w:tcPr>
            <w:tcW w:w="1440" w:type="dxa"/>
            <w:tcBorders>
              <w:top w:val="nil"/>
              <w:left w:val="nil"/>
              <w:bottom w:val="nil"/>
              <w:right w:val="single" w:sz="8" w:space="0" w:color="auto"/>
            </w:tcBorders>
            <w:shd w:val="clear" w:color="auto" w:fill="auto"/>
            <w:noWrap/>
            <w:hideMark/>
          </w:tcPr>
          <w:p w14:paraId="74C403E4"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338FE343"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1D9E93FF" w14:textId="77777777" w:rsidR="005B1AE1" w:rsidRPr="00110467" w:rsidRDefault="005B1AE1" w:rsidP="00EB10CD">
            <w:pPr>
              <w:ind w:firstLine="780"/>
              <w:rPr>
                <w:rFonts w:ascii="Garamond" w:eastAsia="Times New Roman" w:hAnsi="Garamond"/>
                <w:color w:val="000000"/>
                <w:sz w:val="16"/>
                <w:szCs w:val="16"/>
              </w:rPr>
            </w:pPr>
            <w:r w:rsidRPr="00110467">
              <w:rPr>
                <w:rFonts w:ascii="Garamond" w:eastAsia="Times New Roman" w:hAnsi="Garamond"/>
                <w:color w:val="000000"/>
                <w:sz w:val="16"/>
                <w:szCs w:val="16"/>
              </w:rPr>
              <w:t xml:space="preserve">Indirect Taxes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67A061D2"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0ED59A5F"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0386E69A"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320E5662"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VAT</w:t>
            </w:r>
          </w:p>
        </w:tc>
        <w:tc>
          <w:tcPr>
            <w:tcW w:w="1440" w:type="dxa"/>
            <w:tcBorders>
              <w:top w:val="nil"/>
              <w:left w:val="nil"/>
              <w:bottom w:val="nil"/>
              <w:right w:val="single" w:sz="4" w:space="0" w:color="auto"/>
            </w:tcBorders>
            <w:shd w:val="clear" w:color="auto" w:fill="auto"/>
            <w:noWrap/>
            <w:hideMark/>
          </w:tcPr>
          <w:p w14:paraId="6B14CDA8"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1822A0FE"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1AF67679"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69494981"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Sales Tax</w:t>
            </w:r>
          </w:p>
        </w:tc>
        <w:tc>
          <w:tcPr>
            <w:tcW w:w="1440" w:type="dxa"/>
            <w:tcBorders>
              <w:top w:val="nil"/>
              <w:left w:val="nil"/>
              <w:bottom w:val="nil"/>
              <w:right w:val="single" w:sz="4" w:space="0" w:color="auto"/>
            </w:tcBorders>
            <w:shd w:val="clear" w:color="auto" w:fill="auto"/>
            <w:noWrap/>
            <w:hideMark/>
          </w:tcPr>
          <w:p w14:paraId="3B95D678"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7E51960D"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04E06CB3"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7C2BBC45"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Excise Taxes</w:t>
            </w:r>
          </w:p>
        </w:tc>
        <w:tc>
          <w:tcPr>
            <w:tcW w:w="1440" w:type="dxa"/>
            <w:tcBorders>
              <w:top w:val="nil"/>
              <w:left w:val="nil"/>
              <w:bottom w:val="nil"/>
              <w:right w:val="single" w:sz="4" w:space="0" w:color="auto"/>
            </w:tcBorders>
            <w:shd w:val="clear" w:color="auto" w:fill="auto"/>
            <w:noWrap/>
            <w:hideMark/>
          </w:tcPr>
          <w:p w14:paraId="34E2ABBD"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76E3311F"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24377BEC"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30B6BB03"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Customs Duties</w:t>
            </w:r>
          </w:p>
        </w:tc>
        <w:tc>
          <w:tcPr>
            <w:tcW w:w="1440" w:type="dxa"/>
            <w:tcBorders>
              <w:top w:val="nil"/>
              <w:left w:val="nil"/>
              <w:bottom w:val="nil"/>
              <w:right w:val="single" w:sz="4" w:space="0" w:color="auto"/>
            </w:tcBorders>
            <w:shd w:val="clear" w:color="auto" w:fill="auto"/>
            <w:noWrap/>
            <w:hideMark/>
          </w:tcPr>
          <w:p w14:paraId="6D312D77"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12AA2419"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5CF81BEA"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7F99BFFB" w14:textId="77777777" w:rsidR="005B1AE1" w:rsidRPr="00110467" w:rsidRDefault="005B1AE1" w:rsidP="00EB10CD">
            <w:pPr>
              <w:ind w:firstLine="1230"/>
              <w:rPr>
                <w:rFonts w:ascii="Garamond" w:eastAsia="Times New Roman" w:hAnsi="Garamond"/>
                <w:color w:val="000000"/>
                <w:sz w:val="16"/>
                <w:szCs w:val="16"/>
              </w:rPr>
            </w:pPr>
            <w:r w:rsidRPr="00110467">
              <w:rPr>
                <w:rFonts w:ascii="Garamond" w:eastAsia="Times New Roman" w:hAnsi="Garamond"/>
                <w:color w:val="000000"/>
                <w:sz w:val="16"/>
                <w:szCs w:val="16"/>
              </w:rPr>
              <w:t>Taxes on Exports</w:t>
            </w:r>
          </w:p>
        </w:tc>
        <w:tc>
          <w:tcPr>
            <w:tcW w:w="1440" w:type="dxa"/>
            <w:tcBorders>
              <w:top w:val="nil"/>
              <w:left w:val="nil"/>
              <w:bottom w:val="nil"/>
              <w:right w:val="single" w:sz="4" w:space="0" w:color="auto"/>
            </w:tcBorders>
            <w:shd w:val="clear" w:color="auto" w:fill="auto"/>
            <w:noWrap/>
            <w:hideMark/>
          </w:tcPr>
          <w:p w14:paraId="486709AD"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33EB17AD"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6C14D80C"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3553D892" w14:textId="77777777" w:rsidR="005B1AE1" w:rsidRPr="00110467" w:rsidRDefault="005B1AE1" w:rsidP="00EB10CD">
            <w:pPr>
              <w:ind w:firstLine="510"/>
              <w:rPr>
                <w:rFonts w:ascii="Garamond" w:eastAsia="Times New Roman" w:hAnsi="Garamond"/>
                <w:color w:val="000000"/>
                <w:sz w:val="16"/>
                <w:szCs w:val="16"/>
              </w:rPr>
            </w:pPr>
            <w:r w:rsidRPr="00110467">
              <w:rPr>
                <w:rFonts w:ascii="Garamond" w:eastAsia="Times New Roman" w:hAnsi="Garamond"/>
                <w:color w:val="000000"/>
                <w:sz w:val="16"/>
                <w:szCs w:val="16"/>
              </w:rPr>
              <w:t>Nontax Revenue</w:t>
            </w:r>
          </w:p>
        </w:tc>
        <w:tc>
          <w:tcPr>
            <w:tcW w:w="1440" w:type="dxa"/>
            <w:tcBorders>
              <w:top w:val="nil"/>
              <w:left w:val="nil"/>
              <w:bottom w:val="nil"/>
              <w:right w:val="single" w:sz="4" w:space="0" w:color="auto"/>
            </w:tcBorders>
            <w:shd w:val="clear" w:color="auto" w:fill="auto"/>
            <w:noWrap/>
            <w:hideMark/>
          </w:tcPr>
          <w:p w14:paraId="6CA8167A"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0773446E"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57F3E0B3" w14:textId="77777777" w:rsidTr="005B1AE1">
        <w:trPr>
          <w:trHeight w:val="115"/>
        </w:trPr>
        <w:tc>
          <w:tcPr>
            <w:tcW w:w="5030" w:type="dxa"/>
            <w:tcBorders>
              <w:top w:val="nil"/>
              <w:left w:val="single" w:sz="8" w:space="0" w:color="auto"/>
              <w:bottom w:val="single" w:sz="8" w:space="0" w:color="auto"/>
              <w:right w:val="single" w:sz="8" w:space="0" w:color="auto"/>
            </w:tcBorders>
            <w:shd w:val="clear" w:color="auto" w:fill="auto"/>
            <w:noWrap/>
            <w:hideMark/>
          </w:tcPr>
          <w:p w14:paraId="76B12504"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Grants</w:t>
            </w:r>
          </w:p>
        </w:tc>
        <w:tc>
          <w:tcPr>
            <w:tcW w:w="1440" w:type="dxa"/>
            <w:tcBorders>
              <w:top w:val="nil"/>
              <w:left w:val="nil"/>
              <w:bottom w:val="nil"/>
              <w:right w:val="single" w:sz="4" w:space="0" w:color="auto"/>
            </w:tcBorders>
            <w:shd w:val="clear" w:color="auto" w:fill="auto"/>
            <w:noWrap/>
            <w:hideMark/>
          </w:tcPr>
          <w:p w14:paraId="04E5F096"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044B4DCA"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706B9FCE"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42001436" w14:textId="77777777" w:rsidR="005B1AE1" w:rsidRPr="00110467" w:rsidRDefault="005B1AE1" w:rsidP="00C91530">
            <w:pPr>
              <w:rPr>
                <w:rFonts w:ascii="Garamond" w:eastAsia="Times New Roman" w:hAnsi="Garamond"/>
                <w:b/>
                <w:bCs/>
                <w:color w:val="000000"/>
                <w:sz w:val="16"/>
                <w:szCs w:val="16"/>
              </w:rPr>
            </w:pPr>
            <w:r w:rsidRPr="00110467">
              <w:rPr>
                <w:rFonts w:ascii="Garamond" w:eastAsia="Times New Roman" w:hAnsi="Garamond"/>
                <w:b/>
                <w:bCs/>
                <w:color w:val="000000"/>
                <w:sz w:val="16"/>
                <w:szCs w:val="16"/>
              </w:rPr>
              <w:t>Total Expenditure</w:t>
            </w:r>
          </w:p>
        </w:tc>
        <w:tc>
          <w:tcPr>
            <w:tcW w:w="1440" w:type="dxa"/>
            <w:tcBorders>
              <w:top w:val="single" w:sz="8" w:space="0" w:color="auto"/>
              <w:left w:val="nil"/>
              <w:bottom w:val="nil"/>
              <w:right w:val="single" w:sz="4" w:space="0" w:color="auto"/>
            </w:tcBorders>
            <w:shd w:val="clear" w:color="auto" w:fill="auto"/>
            <w:noWrap/>
            <w:hideMark/>
          </w:tcPr>
          <w:p w14:paraId="181425A6" w14:textId="77777777" w:rsidR="005B1AE1" w:rsidRPr="00110467" w:rsidRDefault="005B1AE1" w:rsidP="00C91530">
            <w:pPr>
              <w:ind w:firstLine="1200"/>
              <w:rPr>
                <w:rFonts w:ascii="Garamond" w:eastAsia="Times New Roman" w:hAnsi="Garamond"/>
                <w:color w:val="000000"/>
                <w:sz w:val="16"/>
                <w:szCs w:val="16"/>
              </w:rPr>
            </w:pPr>
            <w:r w:rsidRPr="00110467">
              <w:rPr>
                <w:rFonts w:ascii="Garamond" w:eastAsia="Times New Roman" w:hAnsi="Garamond"/>
                <w:color w:val="000000"/>
                <w:sz w:val="16"/>
                <w:szCs w:val="16"/>
              </w:rPr>
              <w:t> </w:t>
            </w:r>
          </w:p>
        </w:tc>
        <w:tc>
          <w:tcPr>
            <w:tcW w:w="1440" w:type="dxa"/>
            <w:tcBorders>
              <w:top w:val="single" w:sz="8" w:space="0" w:color="auto"/>
              <w:left w:val="nil"/>
              <w:bottom w:val="nil"/>
              <w:right w:val="single" w:sz="8" w:space="0" w:color="auto"/>
            </w:tcBorders>
            <w:shd w:val="clear" w:color="auto" w:fill="auto"/>
            <w:noWrap/>
            <w:hideMark/>
          </w:tcPr>
          <w:p w14:paraId="57F51676" w14:textId="77777777" w:rsidR="005B1AE1" w:rsidRPr="00110467" w:rsidRDefault="005B1AE1" w:rsidP="00C91530">
            <w:pPr>
              <w:ind w:firstLine="720"/>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6F3339D7"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6BDE9419" w14:textId="77777777" w:rsidR="005B1AE1" w:rsidRPr="00110467" w:rsidRDefault="005B1AE1" w:rsidP="00EB10CD">
            <w:pPr>
              <w:ind w:left="150"/>
              <w:rPr>
                <w:rFonts w:ascii="Garamond" w:eastAsia="Times New Roman" w:hAnsi="Garamond"/>
                <w:b/>
                <w:bCs/>
                <w:color w:val="000000"/>
                <w:sz w:val="16"/>
                <w:szCs w:val="16"/>
              </w:rPr>
            </w:pPr>
            <w:r w:rsidRPr="00110467">
              <w:rPr>
                <w:rFonts w:ascii="Garamond" w:eastAsia="Times New Roman" w:hAnsi="Garamond"/>
                <w:b/>
                <w:bCs/>
                <w:color w:val="000000"/>
                <w:sz w:val="16"/>
                <w:szCs w:val="16"/>
              </w:rPr>
              <w:t>Primary Government Spending</w:t>
            </w:r>
          </w:p>
        </w:tc>
        <w:tc>
          <w:tcPr>
            <w:tcW w:w="1440" w:type="dxa"/>
            <w:tcBorders>
              <w:top w:val="nil"/>
              <w:left w:val="nil"/>
              <w:bottom w:val="nil"/>
              <w:right w:val="single" w:sz="4" w:space="0" w:color="auto"/>
            </w:tcBorders>
            <w:shd w:val="clear" w:color="auto" w:fill="auto"/>
            <w:noWrap/>
            <w:hideMark/>
          </w:tcPr>
          <w:p w14:paraId="54E4836F" w14:textId="77777777" w:rsidR="005B1AE1" w:rsidRPr="00110467" w:rsidRDefault="005B1AE1" w:rsidP="00C91530">
            <w:pPr>
              <w:ind w:firstLine="1200"/>
              <w:rPr>
                <w:rFonts w:ascii="Garamond" w:eastAsia="Times New Roman" w:hAnsi="Garamond"/>
                <w:color w:val="000000"/>
                <w:sz w:val="16"/>
                <w:szCs w:val="16"/>
              </w:rPr>
            </w:pPr>
            <w:r w:rsidRPr="00110467">
              <w:rPr>
                <w:rFonts w:ascii="Garamond" w:eastAsia="Times New Roman" w:hAnsi="Garamond"/>
                <w:color w:val="000000"/>
                <w:sz w:val="16"/>
                <w:szCs w:val="16"/>
              </w:rPr>
              <w:t> </w:t>
            </w:r>
          </w:p>
        </w:tc>
        <w:tc>
          <w:tcPr>
            <w:tcW w:w="1440" w:type="dxa"/>
            <w:tcBorders>
              <w:top w:val="nil"/>
              <w:left w:val="nil"/>
              <w:bottom w:val="nil"/>
              <w:right w:val="single" w:sz="8" w:space="0" w:color="auto"/>
            </w:tcBorders>
            <w:shd w:val="clear" w:color="auto" w:fill="auto"/>
            <w:noWrap/>
            <w:hideMark/>
          </w:tcPr>
          <w:p w14:paraId="5D931902" w14:textId="77777777" w:rsidR="005B1AE1" w:rsidRPr="00110467" w:rsidRDefault="005B1AE1" w:rsidP="00C91530">
            <w:pPr>
              <w:ind w:firstLine="720"/>
              <w:rPr>
                <w:rFonts w:ascii="Garamond" w:eastAsia="Times New Roman" w:hAnsi="Garamond"/>
                <w:color w:val="0070C0"/>
                <w:sz w:val="16"/>
                <w:szCs w:val="16"/>
              </w:rPr>
            </w:pPr>
            <w:r w:rsidRPr="00110467">
              <w:rPr>
                <w:rFonts w:ascii="Garamond" w:eastAsia="Times New Roman" w:hAnsi="Garamond"/>
                <w:color w:val="0070C0"/>
                <w:sz w:val="16"/>
                <w:szCs w:val="16"/>
              </w:rPr>
              <w:t> </w:t>
            </w:r>
          </w:p>
        </w:tc>
      </w:tr>
      <w:tr w:rsidR="005B1AE1" w:rsidRPr="00110467" w14:paraId="2E92577B"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1B3EDE53" w14:textId="77777777" w:rsidR="005B1AE1" w:rsidRPr="00110467" w:rsidRDefault="005B1AE1" w:rsidP="00EB10CD">
            <w:pPr>
              <w:ind w:firstLine="330"/>
              <w:rPr>
                <w:rFonts w:ascii="Garamond" w:eastAsia="Times New Roman" w:hAnsi="Garamond"/>
                <w:color w:val="000000"/>
                <w:sz w:val="16"/>
                <w:szCs w:val="16"/>
              </w:rPr>
            </w:pPr>
            <w:r w:rsidRPr="00110467">
              <w:rPr>
                <w:rFonts w:ascii="Garamond" w:eastAsia="Times New Roman" w:hAnsi="Garamond"/>
                <w:color w:val="000000"/>
                <w:sz w:val="16"/>
                <w:szCs w:val="16"/>
              </w:rPr>
              <w:t>Defence Spending</w:t>
            </w:r>
          </w:p>
        </w:tc>
        <w:tc>
          <w:tcPr>
            <w:tcW w:w="1440" w:type="dxa"/>
            <w:tcBorders>
              <w:top w:val="nil"/>
              <w:left w:val="nil"/>
              <w:bottom w:val="nil"/>
              <w:right w:val="single" w:sz="4" w:space="0" w:color="auto"/>
            </w:tcBorders>
            <w:shd w:val="clear" w:color="auto" w:fill="auto"/>
            <w:noWrap/>
            <w:hideMark/>
          </w:tcPr>
          <w:p w14:paraId="55E3DB4F"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216158A4"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26AAAD6C"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3F32E399" w14:textId="77777777" w:rsidR="005B1AE1" w:rsidRPr="00110467" w:rsidRDefault="005B1AE1" w:rsidP="00EB10CD">
            <w:pPr>
              <w:ind w:firstLine="330"/>
              <w:rPr>
                <w:rFonts w:ascii="Garamond" w:eastAsia="Times New Roman" w:hAnsi="Garamond"/>
                <w:color w:val="000000"/>
                <w:sz w:val="16"/>
                <w:szCs w:val="16"/>
              </w:rPr>
            </w:pPr>
            <w:r w:rsidRPr="00110467">
              <w:rPr>
                <w:rFonts w:ascii="Garamond" w:eastAsia="Times New Roman" w:hAnsi="Garamond"/>
                <w:color w:val="000000"/>
                <w:sz w:val="16"/>
                <w:szCs w:val="16"/>
              </w:rPr>
              <w:t>Social Spending</w:t>
            </w:r>
          </w:p>
        </w:tc>
        <w:tc>
          <w:tcPr>
            <w:tcW w:w="1440" w:type="dxa"/>
            <w:tcBorders>
              <w:top w:val="nil"/>
              <w:left w:val="nil"/>
              <w:bottom w:val="nil"/>
              <w:right w:val="single" w:sz="4" w:space="0" w:color="auto"/>
            </w:tcBorders>
            <w:shd w:val="clear" w:color="auto" w:fill="auto"/>
            <w:noWrap/>
            <w:hideMark/>
          </w:tcPr>
          <w:p w14:paraId="1E523D39"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540388F9" w14:textId="77777777" w:rsidR="005B1AE1" w:rsidRPr="00110467" w:rsidRDefault="005B1AE1" w:rsidP="00C91530">
            <w:pPr>
              <w:ind w:firstLine="120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4165BE31" w14:textId="77777777" w:rsidTr="005B1AE1">
        <w:trPr>
          <w:trHeight w:val="207"/>
        </w:trPr>
        <w:tc>
          <w:tcPr>
            <w:tcW w:w="5030" w:type="dxa"/>
            <w:tcBorders>
              <w:top w:val="nil"/>
              <w:left w:val="single" w:sz="8" w:space="0" w:color="auto"/>
              <w:bottom w:val="nil"/>
              <w:right w:val="single" w:sz="8" w:space="0" w:color="auto"/>
            </w:tcBorders>
            <w:shd w:val="clear" w:color="auto" w:fill="auto"/>
            <w:noWrap/>
            <w:hideMark/>
          </w:tcPr>
          <w:p w14:paraId="7CCBD076" w14:textId="77777777" w:rsidR="005B1AE1" w:rsidRPr="00110467" w:rsidRDefault="005B1AE1" w:rsidP="002474B9">
            <w:pPr>
              <w:ind w:firstLine="600"/>
              <w:rPr>
                <w:rFonts w:ascii="Garamond" w:eastAsia="Times New Roman" w:hAnsi="Garamond"/>
                <w:color w:val="000000"/>
                <w:sz w:val="16"/>
                <w:szCs w:val="16"/>
              </w:rPr>
            </w:pPr>
            <w:r w:rsidRPr="00110467">
              <w:rPr>
                <w:rFonts w:ascii="Garamond" w:eastAsia="Times New Roman" w:hAnsi="Garamond"/>
                <w:color w:val="000000"/>
                <w:sz w:val="16"/>
                <w:szCs w:val="16"/>
              </w:rPr>
              <w:t>Social Protection</w:t>
            </w:r>
          </w:p>
        </w:tc>
        <w:tc>
          <w:tcPr>
            <w:tcW w:w="1440" w:type="dxa"/>
            <w:tcBorders>
              <w:top w:val="nil"/>
              <w:left w:val="nil"/>
              <w:bottom w:val="nil"/>
              <w:right w:val="single" w:sz="4" w:space="0" w:color="auto"/>
            </w:tcBorders>
            <w:shd w:val="clear" w:color="auto" w:fill="auto"/>
            <w:noWrap/>
            <w:hideMark/>
          </w:tcPr>
          <w:p w14:paraId="320942F8"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285AE090" w14:textId="77777777" w:rsidR="005B1AE1" w:rsidRPr="00110467" w:rsidRDefault="005B1AE1" w:rsidP="00C91530">
            <w:pPr>
              <w:ind w:firstLine="120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76F01BF0"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773E3B62" w14:textId="77777777" w:rsidR="005B1AE1" w:rsidRPr="00110467" w:rsidRDefault="005B1AE1" w:rsidP="002474B9">
            <w:pPr>
              <w:ind w:firstLine="870"/>
              <w:rPr>
                <w:rFonts w:ascii="Garamond" w:eastAsia="Times New Roman" w:hAnsi="Garamond"/>
                <w:color w:val="000000"/>
                <w:sz w:val="16"/>
                <w:szCs w:val="16"/>
              </w:rPr>
            </w:pPr>
            <w:r w:rsidRPr="00110467">
              <w:rPr>
                <w:rFonts w:ascii="Garamond" w:eastAsia="Times New Roman" w:hAnsi="Garamond"/>
                <w:color w:val="000000"/>
                <w:sz w:val="16"/>
                <w:szCs w:val="16"/>
              </w:rPr>
              <w:t xml:space="preserve">Social Assistance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297919C9"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25DEFF2D" w14:textId="77777777" w:rsidR="005B1AE1" w:rsidRPr="00110467" w:rsidRDefault="005B1AE1" w:rsidP="00C91530">
            <w:pPr>
              <w:ind w:firstLine="120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028F69C8"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746CC809"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Conditional or Unconditional Cash Transfers</w:t>
            </w:r>
          </w:p>
        </w:tc>
        <w:tc>
          <w:tcPr>
            <w:tcW w:w="1440" w:type="dxa"/>
            <w:tcBorders>
              <w:top w:val="nil"/>
              <w:left w:val="nil"/>
              <w:bottom w:val="nil"/>
              <w:right w:val="single" w:sz="4" w:space="0" w:color="auto"/>
            </w:tcBorders>
            <w:shd w:val="clear" w:color="auto" w:fill="auto"/>
            <w:noWrap/>
            <w:hideMark/>
          </w:tcPr>
          <w:p w14:paraId="0C42F93C"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00601EEF" w14:textId="77777777" w:rsidR="005B1AE1" w:rsidRPr="00110467" w:rsidRDefault="005B1AE1" w:rsidP="00C91530">
            <w:pPr>
              <w:ind w:firstLine="120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087C4081"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52D9BE8D" w14:textId="77777777" w:rsidR="005B1AE1" w:rsidRPr="00110467" w:rsidRDefault="005B1AE1" w:rsidP="002474B9">
            <w:pPr>
              <w:ind w:firstLine="1140"/>
              <w:rPr>
                <w:rFonts w:ascii="Garamond" w:eastAsia="Times New Roman" w:hAnsi="Garamond"/>
                <w:color w:val="000000"/>
                <w:sz w:val="16"/>
                <w:szCs w:val="16"/>
              </w:rPr>
            </w:pPr>
            <w:proofErr w:type="spellStart"/>
            <w:r w:rsidRPr="00110467">
              <w:rPr>
                <w:rFonts w:ascii="Garamond" w:eastAsia="Times New Roman" w:hAnsi="Garamond"/>
                <w:color w:val="000000"/>
                <w:sz w:val="16"/>
                <w:szCs w:val="16"/>
              </w:rPr>
              <w:t>Noncontributory</w:t>
            </w:r>
            <w:proofErr w:type="spellEnd"/>
            <w:r w:rsidRPr="00110467">
              <w:rPr>
                <w:rFonts w:ascii="Garamond" w:eastAsia="Times New Roman" w:hAnsi="Garamond"/>
                <w:color w:val="000000"/>
                <w:sz w:val="16"/>
                <w:szCs w:val="16"/>
              </w:rPr>
              <w:t xml:space="preserve"> Pensions</w:t>
            </w:r>
          </w:p>
        </w:tc>
        <w:tc>
          <w:tcPr>
            <w:tcW w:w="1440" w:type="dxa"/>
            <w:tcBorders>
              <w:top w:val="nil"/>
              <w:left w:val="nil"/>
              <w:bottom w:val="nil"/>
              <w:right w:val="single" w:sz="4" w:space="0" w:color="auto"/>
            </w:tcBorders>
            <w:shd w:val="clear" w:color="auto" w:fill="auto"/>
            <w:noWrap/>
            <w:hideMark/>
          </w:tcPr>
          <w:p w14:paraId="06700579"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128EB9D8" w14:textId="77777777" w:rsidR="005B1AE1" w:rsidRPr="00110467" w:rsidRDefault="005B1AE1" w:rsidP="00C91530">
            <w:pPr>
              <w:ind w:firstLine="120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5B8D3E88"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21C34EB6"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Near Cash Transfers (Food, School Uniforms, etc.)</w:t>
            </w:r>
          </w:p>
        </w:tc>
        <w:tc>
          <w:tcPr>
            <w:tcW w:w="1440" w:type="dxa"/>
            <w:tcBorders>
              <w:top w:val="nil"/>
              <w:left w:val="nil"/>
              <w:bottom w:val="nil"/>
              <w:right w:val="single" w:sz="4" w:space="0" w:color="auto"/>
            </w:tcBorders>
            <w:shd w:val="clear" w:color="auto" w:fill="auto"/>
            <w:noWrap/>
            <w:hideMark/>
          </w:tcPr>
          <w:p w14:paraId="5CAF5848"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4DDABCE3" w14:textId="77777777" w:rsidR="005B1AE1" w:rsidRPr="00110467" w:rsidRDefault="005B1AE1" w:rsidP="00C91530">
            <w:pPr>
              <w:ind w:firstLine="120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68FC6001"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54A4E117"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Other</w:t>
            </w:r>
          </w:p>
        </w:tc>
        <w:tc>
          <w:tcPr>
            <w:tcW w:w="1440" w:type="dxa"/>
            <w:tcBorders>
              <w:top w:val="nil"/>
              <w:left w:val="nil"/>
              <w:bottom w:val="nil"/>
              <w:right w:val="single" w:sz="4" w:space="0" w:color="auto"/>
            </w:tcBorders>
            <w:shd w:val="clear" w:color="auto" w:fill="auto"/>
            <w:noWrap/>
            <w:hideMark/>
          </w:tcPr>
          <w:p w14:paraId="545C0898"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69C295DE" w14:textId="77777777" w:rsidR="005B1AE1" w:rsidRPr="00110467" w:rsidRDefault="005B1AE1" w:rsidP="00C91530">
            <w:pPr>
              <w:ind w:firstLine="120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769C8CE4" w14:textId="77777777" w:rsidTr="005B1AE1">
        <w:trPr>
          <w:trHeight w:val="207"/>
        </w:trPr>
        <w:tc>
          <w:tcPr>
            <w:tcW w:w="5030" w:type="dxa"/>
            <w:tcBorders>
              <w:top w:val="nil"/>
              <w:left w:val="single" w:sz="8" w:space="0" w:color="auto"/>
              <w:bottom w:val="nil"/>
              <w:right w:val="single" w:sz="8" w:space="0" w:color="auto"/>
            </w:tcBorders>
            <w:shd w:val="clear" w:color="auto" w:fill="auto"/>
            <w:noWrap/>
            <w:hideMark/>
          </w:tcPr>
          <w:p w14:paraId="34FBF7F5" w14:textId="77777777" w:rsidR="005B1AE1" w:rsidRPr="00110467" w:rsidRDefault="005B1AE1" w:rsidP="002474B9">
            <w:pPr>
              <w:ind w:firstLine="870"/>
              <w:rPr>
                <w:rFonts w:ascii="Garamond" w:eastAsia="Times New Roman" w:hAnsi="Garamond"/>
                <w:color w:val="000000"/>
                <w:sz w:val="16"/>
                <w:szCs w:val="16"/>
              </w:rPr>
            </w:pPr>
            <w:r w:rsidRPr="00110467">
              <w:rPr>
                <w:rFonts w:ascii="Garamond" w:eastAsia="Times New Roman" w:hAnsi="Garamond"/>
                <w:color w:val="000000"/>
                <w:sz w:val="16"/>
                <w:szCs w:val="16"/>
              </w:rPr>
              <w:t xml:space="preserve">Social Insurance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41643391"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3C1B190B"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4D359E2A" w14:textId="77777777" w:rsidTr="005B1AE1">
        <w:trPr>
          <w:trHeight w:val="189"/>
        </w:trPr>
        <w:tc>
          <w:tcPr>
            <w:tcW w:w="5030" w:type="dxa"/>
            <w:tcBorders>
              <w:top w:val="nil"/>
              <w:left w:val="single" w:sz="8" w:space="0" w:color="auto"/>
              <w:bottom w:val="nil"/>
              <w:right w:val="single" w:sz="8" w:space="0" w:color="auto"/>
            </w:tcBorders>
            <w:shd w:val="clear" w:color="auto" w:fill="auto"/>
            <w:noWrap/>
            <w:hideMark/>
          </w:tcPr>
          <w:p w14:paraId="6ED5F51F"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Old-Age Pensions</w:t>
            </w:r>
          </w:p>
        </w:tc>
        <w:tc>
          <w:tcPr>
            <w:tcW w:w="1440" w:type="dxa"/>
            <w:tcBorders>
              <w:top w:val="nil"/>
              <w:left w:val="nil"/>
              <w:bottom w:val="nil"/>
              <w:right w:val="single" w:sz="4" w:space="0" w:color="auto"/>
            </w:tcBorders>
            <w:shd w:val="clear" w:color="auto" w:fill="auto"/>
            <w:noWrap/>
            <w:hideMark/>
          </w:tcPr>
          <w:p w14:paraId="21298E7D"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524C1E5C"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7E6E0B58"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1D019CEF" w14:textId="77777777" w:rsidR="005B1AE1" w:rsidRPr="00110467" w:rsidRDefault="005B1AE1" w:rsidP="002474B9">
            <w:pPr>
              <w:ind w:firstLine="600"/>
              <w:rPr>
                <w:rFonts w:ascii="Garamond" w:eastAsia="Times New Roman" w:hAnsi="Garamond"/>
                <w:color w:val="000000"/>
                <w:sz w:val="16"/>
                <w:szCs w:val="16"/>
              </w:rPr>
            </w:pPr>
            <w:r w:rsidRPr="00110467">
              <w:rPr>
                <w:rFonts w:ascii="Garamond" w:eastAsia="Times New Roman" w:hAnsi="Garamond"/>
                <w:color w:val="000000"/>
                <w:sz w:val="16"/>
                <w:szCs w:val="16"/>
              </w:rPr>
              <w:t xml:space="preserve">Education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61EE30F9"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09D9AA7C"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79567B0B"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5EB626ED"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Pre-school</w:t>
            </w:r>
          </w:p>
        </w:tc>
        <w:tc>
          <w:tcPr>
            <w:tcW w:w="1440" w:type="dxa"/>
            <w:tcBorders>
              <w:top w:val="nil"/>
              <w:left w:val="nil"/>
              <w:bottom w:val="nil"/>
              <w:right w:val="single" w:sz="4" w:space="0" w:color="auto"/>
            </w:tcBorders>
            <w:shd w:val="clear" w:color="auto" w:fill="auto"/>
            <w:noWrap/>
            <w:hideMark/>
          </w:tcPr>
          <w:p w14:paraId="0D004AF6"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5F487251"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1055E690"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05BB4B3D"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Primary</w:t>
            </w:r>
          </w:p>
        </w:tc>
        <w:tc>
          <w:tcPr>
            <w:tcW w:w="1440" w:type="dxa"/>
            <w:tcBorders>
              <w:top w:val="nil"/>
              <w:left w:val="nil"/>
              <w:bottom w:val="nil"/>
              <w:right w:val="single" w:sz="4" w:space="0" w:color="auto"/>
            </w:tcBorders>
            <w:shd w:val="clear" w:color="auto" w:fill="auto"/>
            <w:noWrap/>
            <w:hideMark/>
          </w:tcPr>
          <w:p w14:paraId="7D42088C"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694ED533"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6A5F3FDD"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4A7ADE68"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Secondary</w:t>
            </w:r>
          </w:p>
        </w:tc>
        <w:tc>
          <w:tcPr>
            <w:tcW w:w="1440" w:type="dxa"/>
            <w:tcBorders>
              <w:top w:val="nil"/>
              <w:left w:val="nil"/>
              <w:bottom w:val="nil"/>
              <w:right w:val="single" w:sz="4" w:space="0" w:color="auto"/>
            </w:tcBorders>
            <w:shd w:val="clear" w:color="auto" w:fill="auto"/>
            <w:noWrap/>
            <w:hideMark/>
          </w:tcPr>
          <w:p w14:paraId="66B3092E"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7D741BE6"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58540B56"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6321DE1F"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Post-secondary non-tertiary</w:t>
            </w:r>
          </w:p>
        </w:tc>
        <w:tc>
          <w:tcPr>
            <w:tcW w:w="1440" w:type="dxa"/>
            <w:tcBorders>
              <w:top w:val="nil"/>
              <w:left w:val="nil"/>
              <w:bottom w:val="nil"/>
              <w:right w:val="single" w:sz="4" w:space="0" w:color="auto"/>
            </w:tcBorders>
            <w:shd w:val="clear" w:color="auto" w:fill="auto"/>
            <w:noWrap/>
            <w:hideMark/>
          </w:tcPr>
          <w:p w14:paraId="25532720"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0210C4A1"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173A0864"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2B43BA96"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Tertiary</w:t>
            </w:r>
          </w:p>
        </w:tc>
        <w:tc>
          <w:tcPr>
            <w:tcW w:w="1440" w:type="dxa"/>
            <w:tcBorders>
              <w:top w:val="nil"/>
              <w:left w:val="nil"/>
              <w:bottom w:val="nil"/>
              <w:right w:val="single" w:sz="4" w:space="0" w:color="auto"/>
            </w:tcBorders>
            <w:shd w:val="clear" w:color="auto" w:fill="auto"/>
            <w:noWrap/>
            <w:hideMark/>
          </w:tcPr>
          <w:p w14:paraId="6059DCE3"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727BECD8"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74FE5349"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2860A9CA" w14:textId="77777777" w:rsidR="005B1AE1" w:rsidRPr="00110467" w:rsidRDefault="005B1AE1" w:rsidP="002474B9">
            <w:pPr>
              <w:ind w:firstLine="600"/>
              <w:rPr>
                <w:rFonts w:ascii="Garamond" w:eastAsia="Times New Roman" w:hAnsi="Garamond"/>
                <w:color w:val="000000"/>
                <w:sz w:val="16"/>
                <w:szCs w:val="16"/>
              </w:rPr>
            </w:pPr>
            <w:r w:rsidRPr="00110467">
              <w:rPr>
                <w:rFonts w:ascii="Garamond" w:eastAsia="Times New Roman" w:hAnsi="Garamond"/>
                <w:color w:val="000000"/>
                <w:sz w:val="16"/>
                <w:szCs w:val="16"/>
              </w:rPr>
              <w:t xml:space="preserve">Health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1F5E6C79"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04741961"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2AADBABE"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5BCE086F"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Contributory</w:t>
            </w:r>
          </w:p>
        </w:tc>
        <w:tc>
          <w:tcPr>
            <w:tcW w:w="1440" w:type="dxa"/>
            <w:tcBorders>
              <w:top w:val="nil"/>
              <w:left w:val="nil"/>
              <w:bottom w:val="nil"/>
              <w:right w:val="single" w:sz="4" w:space="0" w:color="auto"/>
            </w:tcBorders>
            <w:shd w:val="clear" w:color="auto" w:fill="auto"/>
            <w:noWrap/>
            <w:hideMark/>
          </w:tcPr>
          <w:p w14:paraId="0A268057"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0216404F"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61B226DB"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65E1CCA9" w14:textId="77777777" w:rsidR="005B1AE1" w:rsidRPr="00110467" w:rsidRDefault="005B1AE1" w:rsidP="002474B9">
            <w:pPr>
              <w:ind w:firstLine="1140"/>
              <w:rPr>
                <w:rFonts w:ascii="Garamond" w:eastAsia="Times New Roman" w:hAnsi="Garamond"/>
                <w:color w:val="000000"/>
                <w:sz w:val="16"/>
                <w:szCs w:val="16"/>
              </w:rPr>
            </w:pPr>
            <w:proofErr w:type="spellStart"/>
            <w:r w:rsidRPr="00110467">
              <w:rPr>
                <w:rFonts w:ascii="Garamond" w:eastAsia="Times New Roman" w:hAnsi="Garamond"/>
                <w:color w:val="000000"/>
                <w:sz w:val="16"/>
                <w:szCs w:val="16"/>
              </w:rPr>
              <w:t>Noncontributory</w:t>
            </w:r>
            <w:proofErr w:type="spellEnd"/>
          </w:p>
        </w:tc>
        <w:tc>
          <w:tcPr>
            <w:tcW w:w="1440" w:type="dxa"/>
            <w:tcBorders>
              <w:top w:val="nil"/>
              <w:left w:val="nil"/>
              <w:bottom w:val="nil"/>
              <w:right w:val="single" w:sz="4" w:space="0" w:color="auto"/>
            </w:tcBorders>
            <w:shd w:val="clear" w:color="auto" w:fill="auto"/>
            <w:noWrap/>
            <w:hideMark/>
          </w:tcPr>
          <w:p w14:paraId="227564BC"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noWrap/>
            <w:hideMark/>
          </w:tcPr>
          <w:p w14:paraId="0CA64502" w14:textId="77777777" w:rsidR="005B1AE1" w:rsidRPr="00110467" w:rsidRDefault="005B1AE1" w:rsidP="00C91530">
            <w:pPr>
              <w:ind w:firstLine="14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23B367CB"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0A898431" w14:textId="77777777" w:rsidR="005B1AE1" w:rsidRPr="00110467" w:rsidRDefault="005B1AE1" w:rsidP="002474B9">
            <w:pPr>
              <w:ind w:firstLine="600"/>
              <w:rPr>
                <w:rFonts w:ascii="Garamond" w:eastAsia="Times New Roman" w:hAnsi="Garamond"/>
                <w:color w:val="000000"/>
                <w:sz w:val="16"/>
                <w:szCs w:val="16"/>
              </w:rPr>
            </w:pPr>
            <w:r w:rsidRPr="00110467">
              <w:rPr>
                <w:rFonts w:ascii="Garamond" w:eastAsia="Times New Roman" w:hAnsi="Garamond"/>
                <w:color w:val="000000"/>
                <w:sz w:val="16"/>
                <w:szCs w:val="16"/>
              </w:rPr>
              <w:t xml:space="preserve">Housing &amp; Urban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58A0FD1A"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331ABC37"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657EE1B3"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34A19A1C"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Housing</w:t>
            </w:r>
          </w:p>
        </w:tc>
        <w:tc>
          <w:tcPr>
            <w:tcW w:w="1440" w:type="dxa"/>
            <w:tcBorders>
              <w:top w:val="nil"/>
              <w:left w:val="nil"/>
              <w:bottom w:val="nil"/>
              <w:right w:val="single" w:sz="4" w:space="0" w:color="auto"/>
            </w:tcBorders>
            <w:shd w:val="clear" w:color="auto" w:fill="auto"/>
            <w:noWrap/>
            <w:hideMark/>
          </w:tcPr>
          <w:p w14:paraId="36A1E2F6"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7B8CD972"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6B534EC7"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4FA57076" w14:textId="77777777" w:rsidR="005B1AE1" w:rsidRPr="00110467" w:rsidRDefault="005B1AE1" w:rsidP="002474B9">
            <w:pPr>
              <w:ind w:firstLine="330"/>
              <w:rPr>
                <w:rFonts w:ascii="Garamond" w:eastAsia="Times New Roman" w:hAnsi="Garamond"/>
                <w:color w:val="000000"/>
                <w:sz w:val="16"/>
                <w:szCs w:val="16"/>
              </w:rPr>
            </w:pPr>
            <w:r w:rsidRPr="00110467">
              <w:rPr>
                <w:rFonts w:ascii="Garamond" w:eastAsia="Times New Roman" w:hAnsi="Garamond"/>
                <w:color w:val="000000"/>
                <w:sz w:val="16"/>
                <w:szCs w:val="16"/>
              </w:rPr>
              <w:t xml:space="preserve">Subsidies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18D82FF1"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38B3F88F"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26DA199D"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76021769" w14:textId="77777777" w:rsidR="005B1AE1" w:rsidRPr="00110467" w:rsidRDefault="005B1AE1" w:rsidP="002474B9">
            <w:pPr>
              <w:ind w:firstLine="600"/>
              <w:rPr>
                <w:rFonts w:ascii="Garamond" w:eastAsia="Times New Roman" w:hAnsi="Garamond"/>
                <w:color w:val="000000"/>
                <w:sz w:val="16"/>
                <w:szCs w:val="16"/>
              </w:rPr>
            </w:pPr>
            <w:r w:rsidRPr="00110467">
              <w:rPr>
                <w:rFonts w:ascii="Garamond" w:eastAsia="Times New Roman" w:hAnsi="Garamond"/>
                <w:color w:val="000000"/>
                <w:sz w:val="16"/>
                <w:szCs w:val="16"/>
              </w:rPr>
              <w:t xml:space="preserve">Energy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4948FF5F"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1079AC77"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32A1B16B"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18156159"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Electricity</w:t>
            </w:r>
          </w:p>
        </w:tc>
        <w:tc>
          <w:tcPr>
            <w:tcW w:w="1440" w:type="dxa"/>
            <w:tcBorders>
              <w:top w:val="nil"/>
              <w:left w:val="nil"/>
              <w:bottom w:val="nil"/>
              <w:right w:val="single" w:sz="4" w:space="0" w:color="auto"/>
            </w:tcBorders>
            <w:shd w:val="clear" w:color="auto" w:fill="auto"/>
            <w:noWrap/>
            <w:hideMark/>
          </w:tcPr>
          <w:p w14:paraId="0744477C"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617723B5"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6C4BF24F"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00202779" w14:textId="77777777" w:rsidR="005B1AE1" w:rsidRPr="00110467" w:rsidRDefault="005B1AE1" w:rsidP="002474B9">
            <w:pPr>
              <w:ind w:firstLine="1140"/>
              <w:rPr>
                <w:rFonts w:ascii="Garamond" w:eastAsia="Times New Roman" w:hAnsi="Garamond"/>
                <w:color w:val="000000"/>
                <w:sz w:val="16"/>
                <w:szCs w:val="16"/>
              </w:rPr>
            </w:pPr>
            <w:r w:rsidRPr="00110467">
              <w:rPr>
                <w:rFonts w:ascii="Garamond" w:eastAsia="Times New Roman" w:hAnsi="Garamond"/>
                <w:color w:val="000000"/>
                <w:sz w:val="16"/>
                <w:szCs w:val="16"/>
              </w:rPr>
              <w:t>Fuel</w:t>
            </w:r>
          </w:p>
        </w:tc>
        <w:tc>
          <w:tcPr>
            <w:tcW w:w="1440" w:type="dxa"/>
            <w:tcBorders>
              <w:top w:val="nil"/>
              <w:left w:val="nil"/>
              <w:bottom w:val="nil"/>
              <w:right w:val="single" w:sz="4" w:space="0" w:color="auto"/>
            </w:tcBorders>
            <w:shd w:val="clear" w:color="auto" w:fill="auto"/>
            <w:noWrap/>
            <w:hideMark/>
          </w:tcPr>
          <w:p w14:paraId="6C96F903"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76DBE0CC"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7C660C1A"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389BB8CF" w14:textId="77777777" w:rsidR="005B1AE1" w:rsidRPr="00110467" w:rsidRDefault="005B1AE1" w:rsidP="002474B9">
            <w:pPr>
              <w:ind w:firstLine="600"/>
              <w:rPr>
                <w:rFonts w:ascii="Garamond" w:eastAsia="Times New Roman" w:hAnsi="Garamond"/>
                <w:color w:val="000000"/>
                <w:sz w:val="16"/>
                <w:szCs w:val="16"/>
              </w:rPr>
            </w:pPr>
            <w:r w:rsidRPr="00110467">
              <w:rPr>
                <w:rFonts w:ascii="Garamond" w:eastAsia="Times New Roman" w:hAnsi="Garamond"/>
                <w:color w:val="000000"/>
                <w:sz w:val="16"/>
                <w:szCs w:val="16"/>
              </w:rPr>
              <w:t>Food</w:t>
            </w:r>
          </w:p>
        </w:tc>
        <w:tc>
          <w:tcPr>
            <w:tcW w:w="1440" w:type="dxa"/>
            <w:tcBorders>
              <w:top w:val="nil"/>
              <w:left w:val="nil"/>
              <w:bottom w:val="nil"/>
              <w:right w:val="single" w:sz="4" w:space="0" w:color="auto"/>
            </w:tcBorders>
            <w:shd w:val="clear" w:color="auto" w:fill="auto"/>
            <w:noWrap/>
            <w:hideMark/>
          </w:tcPr>
          <w:p w14:paraId="490DBDA2"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2F30C0ED"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5238F5AF"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71EB30A3" w14:textId="77777777" w:rsidR="005B1AE1" w:rsidRPr="00110467" w:rsidRDefault="005B1AE1" w:rsidP="002474B9">
            <w:pPr>
              <w:ind w:firstLine="600"/>
              <w:rPr>
                <w:rFonts w:ascii="Garamond" w:eastAsia="Times New Roman" w:hAnsi="Garamond"/>
                <w:color w:val="000000"/>
                <w:sz w:val="16"/>
                <w:szCs w:val="16"/>
              </w:rPr>
            </w:pPr>
            <w:r w:rsidRPr="00110467">
              <w:rPr>
                <w:rFonts w:ascii="Garamond" w:eastAsia="Times New Roman" w:hAnsi="Garamond"/>
                <w:color w:val="000000"/>
                <w:sz w:val="16"/>
                <w:szCs w:val="16"/>
              </w:rPr>
              <w:t>On Inputs for Agriculture</w:t>
            </w:r>
          </w:p>
        </w:tc>
        <w:tc>
          <w:tcPr>
            <w:tcW w:w="1440" w:type="dxa"/>
            <w:tcBorders>
              <w:top w:val="nil"/>
              <w:left w:val="nil"/>
              <w:bottom w:val="nil"/>
              <w:right w:val="single" w:sz="4" w:space="0" w:color="auto"/>
            </w:tcBorders>
            <w:shd w:val="clear" w:color="auto" w:fill="auto"/>
            <w:noWrap/>
            <w:hideMark/>
          </w:tcPr>
          <w:p w14:paraId="66B5CC55"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676CC11A"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6DFEB762"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6E362259" w14:textId="77777777" w:rsidR="005B1AE1" w:rsidRPr="00110467" w:rsidRDefault="005B1AE1" w:rsidP="002474B9">
            <w:pPr>
              <w:ind w:firstLine="330"/>
              <w:rPr>
                <w:rFonts w:ascii="Garamond" w:eastAsia="Times New Roman" w:hAnsi="Garamond"/>
                <w:color w:val="000000"/>
                <w:sz w:val="16"/>
                <w:szCs w:val="16"/>
              </w:rPr>
            </w:pPr>
            <w:r w:rsidRPr="00110467">
              <w:rPr>
                <w:rFonts w:ascii="Garamond" w:eastAsia="Times New Roman" w:hAnsi="Garamond"/>
                <w:color w:val="000000"/>
                <w:sz w:val="16"/>
                <w:szCs w:val="16"/>
              </w:rPr>
              <w:t xml:space="preserve">Infrastructure </w:t>
            </w:r>
            <w:r w:rsidRPr="00110467">
              <w:rPr>
                <w:rFonts w:ascii="Garamond" w:eastAsia="Times New Roman" w:hAnsi="Garamond"/>
                <w:i/>
                <w:iCs/>
                <w:color w:val="000000"/>
                <w:sz w:val="16"/>
                <w:szCs w:val="16"/>
              </w:rPr>
              <w:t>of which</w:t>
            </w:r>
          </w:p>
        </w:tc>
        <w:tc>
          <w:tcPr>
            <w:tcW w:w="1440" w:type="dxa"/>
            <w:tcBorders>
              <w:top w:val="nil"/>
              <w:left w:val="nil"/>
              <w:bottom w:val="nil"/>
              <w:right w:val="single" w:sz="4" w:space="0" w:color="auto"/>
            </w:tcBorders>
            <w:shd w:val="clear" w:color="auto" w:fill="auto"/>
            <w:noWrap/>
            <w:hideMark/>
          </w:tcPr>
          <w:p w14:paraId="2DD0A020"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379BC5C4"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3B569DB1"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5FCE19DE" w14:textId="77777777" w:rsidR="005B1AE1" w:rsidRPr="00110467" w:rsidRDefault="005B1AE1" w:rsidP="002474B9">
            <w:pPr>
              <w:ind w:firstLine="600"/>
              <w:rPr>
                <w:rFonts w:ascii="Garamond" w:eastAsia="Times New Roman" w:hAnsi="Garamond"/>
                <w:color w:val="000000"/>
                <w:sz w:val="16"/>
                <w:szCs w:val="16"/>
              </w:rPr>
            </w:pPr>
            <w:r w:rsidRPr="00110467">
              <w:rPr>
                <w:rFonts w:ascii="Garamond" w:eastAsia="Times New Roman" w:hAnsi="Garamond"/>
                <w:color w:val="000000"/>
                <w:sz w:val="16"/>
                <w:szCs w:val="16"/>
              </w:rPr>
              <w:t>Water &amp; Sanitation</w:t>
            </w:r>
          </w:p>
        </w:tc>
        <w:tc>
          <w:tcPr>
            <w:tcW w:w="1440" w:type="dxa"/>
            <w:tcBorders>
              <w:top w:val="nil"/>
              <w:left w:val="nil"/>
              <w:bottom w:val="nil"/>
              <w:right w:val="single" w:sz="4" w:space="0" w:color="auto"/>
            </w:tcBorders>
            <w:shd w:val="clear" w:color="auto" w:fill="auto"/>
            <w:noWrap/>
            <w:hideMark/>
          </w:tcPr>
          <w:p w14:paraId="00C34FD1"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5FD9A332"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69E948EF"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04EC5D28" w14:textId="77777777" w:rsidR="005B1AE1" w:rsidRPr="00110467" w:rsidRDefault="005B1AE1" w:rsidP="002474B9">
            <w:pPr>
              <w:ind w:firstLine="600"/>
              <w:rPr>
                <w:rFonts w:ascii="Garamond" w:eastAsia="Times New Roman" w:hAnsi="Garamond"/>
                <w:color w:val="000000"/>
                <w:sz w:val="16"/>
                <w:szCs w:val="16"/>
              </w:rPr>
            </w:pPr>
            <w:r w:rsidRPr="00110467">
              <w:rPr>
                <w:rFonts w:ascii="Garamond" w:eastAsia="Times New Roman" w:hAnsi="Garamond"/>
                <w:color w:val="000000"/>
                <w:sz w:val="16"/>
                <w:szCs w:val="16"/>
              </w:rPr>
              <w:t>Rural Roads</w:t>
            </w:r>
          </w:p>
        </w:tc>
        <w:tc>
          <w:tcPr>
            <w:tcW w:w="1440" w:type="dxa"/>
            <w:tcBorders>
              <w:top w:val="nil"/>
              <w:left w:val="nil"/>
              <w:bottom w:val="nil"/>
              <w:right w:val="single" w:sz="4" w:space="0" w:color="auto"/>
            </w:tcBorders>
            <w:shd w:val="clear" w:color="auto" w:fill="auto"/>
            <w:noWrap/>
            <w:hideMark/>
          </w:tcPr>
          <w:p w14:paraId="7ABE7070"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76EC7FA1"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2BE7FD3C" w14:textId="77777777" w:rsidTr="005B1AE1">
        <w:trPr>
          <w:trHeight w:val="115"/>
        </w:trPr>
        <w:tc>
          <w:tcPr>
            <w:tcW w:w="5030" w:type="dxa"/>
            <w:tcBorders>
              <w:top w:val="nil"/>
              <w:left w:val="single" w:sz="8" w:space="0" w:color="auto"/>
              <w:bottom w:val="nil"/>
              <w:right w:val="single" w:sz="8" w:space="0" w:color="auto"/>
            </w:tcBorders>
            <w:shd w:val="clear" w:color="auto" w:fill="auto"/>
            <w:noWrap/>
            <w:hideMark/>
          </w:tcPr>
          <w:p w14:paraId="359FE5FF" w14:textId="77777777" w:rsidR="005B1AE1" w:rsidRPr="00110467" w:rsidRDefault="005B1AE1" w:rsidP="002474B9">
            <w:pPr>
              <w:ind w:firstLine="330"/>
              <w:rPr>
                <w:rFonts w:ascii="Garamond" w:eastAsia="Times New Roman" w:hAnsi="Garamond"/>
                <w:color w:val="000000"/>
                <w:sz w:val="16"/>
                <w:szCs w:val="16"/>
              </w:rPr>
            </w:pPr>
            <w:r w:rsidRPr="00110467">
              <w:rPr>
                <w:rFonts w:ascii="Garamond" w:eastAsia="Times New Roman" w:hAnsi="Garamond"/>
                <w:color w:val="000000"/>
                <w:sz w:val="16"/>
                <w:szCs w:val="16"/>
              </w:rPr>
              <w:t>Other Government Spending</w:t>
            </w:r>
          </w:p>
        </w:tc>
        <w:tc>
          <w:tcPr>
            <w:tcW w:w="1440" w:type="dxa"/>
            <w:tcBorders>
              <w:top w:val="nil"/>
              <w:left w:val="nil"/>
              <w:bottom w:val="nil"/>
              <w:right w:val="single" w:sz="4" w:space="0" w:color="auto"/>
            </w:tcBorders>
            <w:shd w:val="clear" w:color="auto" w:fill="auto"/>
            <w:noWrap/>
            <w:hideMark/>
          </w:tcPr>
          <w:p w14:paraId="52473410"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nil"/>
              <w:right w:val="single" w:sz="8" w:space="0" w:color="auto"/>
            </w:tcBorders>
            <w:shd w:val="clear" w:color="auto" w:fill="auto"/>
            <w:hideMark/>
          </w:tcPr>
          <w:p w14:paraId="10A52E25"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r w:rsidR="005B1AE1" w:rsidRPr="00110467" w14:paraId="46DB3183" w14:textId="77777777" w:rsidTr="005B1AE1">
        <w:trPr>
          <w:trHeight w:val="115"/>
        </w:trPr>
        <w:tc>
          <w:tcPr>
            <w:tcW w:w="5030" w:type="dxa"/>
            <w:tcBorders>
              <w:top w:val="nil"/>
              <w:left w:val="single" w:sz="8" w:space="0" w:color="auto"/>
              <w:bottom w:val="single" w:sz="8" w:space="0" w:color="auto"/>
              <w:right w:val="single" w:sz="8" w:space="0" w:color="auto"/>
            </w:tcBorders>
            <w:shd w:val="clear" w:color="auto" w:fill="auto"/>
            <w:noWrap/>
            <w:hideMark/>
          </w:tcPr>
          <w:p w14:paraId="7DEABEAF" w14:textId="77777777" w:rsidR="005B1AE1" w:rsidRPr="00110467" w:rsidRDefault="005B1AE1" w:rsidP="002474B9">
            <w:pPr>
              <w:ind w:firstLine="330"/>
              <w:rPr>
                <w:rFonts w:ascii="Garamond" w:eastAsia="Times New Roman" w:hAnsi="Garamond"/>
                <w:color w:val="000000"/>
                <w:sz w:val="16"/>
                <w:szCs w:val="16"/>
              </w:rPr>
            </w:pPr>
            <w:r w:rsidRPr="00110467">
              <w:rPr>
                <w:rFonts w:ascii="Garamond" w:eastAsia="Times New Roman" w:hAnsi="Garamond"/>
                <w:color w:val="000000"/>
                <w:sz w:val="16"/>
                <w:szCs w:val="16"/>
              </w:rPr>
              <w:t>Grants</w:t>
            </w:r>
          </w:p>
        </w:tc>
        <w:tc>
          <w:tcPr>
            <w:tcW w:w="1440" w:type="dxa"/>
            <w:tcBorders>
              <w:top w:val="nil"/>
              <w:left w:val="nil"/>
              <w:bottom w:val="single" w:sz="8" w:space="0" w:color="auto"/>
              <w:right w:val="single" w:sz="4" w:space="0" w:color="auto"/>
            </w:tcBorders>
            <w:shd w:val="clear" w:color="auto" w:fill="auto"/>
            <w:noWrap/>
            <w:hideMark/>
          </w:tcPr>
          <w:p w14:paraId="31A24240" w14:textId="77777777" w:rsidR="005B1AE1" w:rsidRPr="00110467" w:rsidRDefault="005B1AE1" w:rsidP="00C91530">
            <w:pPr>
              <w:rPr>
                <w:rFonts w:ascii="Garamond" w:eastAsia="Times New Roman" w:hAnsi="Garamond"/>
                <w:color w:val="0070C0"/>
                <w:sz w:val="16"/>
                <w:szCs w:val="16"/>
              </w:rPr>
            </w:pPr>
            <w:r w:rsidRPr="00110467">
              <w:rPr>
                <w:rFonts w:ascii="Garamond" w:eastAsia="Times New Roman" w:hAnsi="Garamond"/>
                <w:color w:val="0070C0"/>
                <w:sz w:val="16"/>
                <w:szCs w:val="16"/>
              </w:rPr>
              <w:t> </w:t>
            </w:r>
          </w:p>
        </w:tc>
        <w:tc>
          <w:tcPr>
            <w:tcW w:w="1440" w:type="dxa"/>
            <w:tcBorders>
              <w:top w:val="nil"/>
              <w:left w:val="nil"/>
              <w:bottom w:val="single" w:sz="8" w:space="0" w:color="auto"/>
              <w:right w:val="single" w:sz="8" w:space="0" w:color="auto"/>
            </w:tcBorders>
            <w:shd w:val="clear" w:color="auto" w:fill="auto"/>
            <w:hideMark/>
          </w:tcPr>
          <w:p w14:paraId="38D462B3" w14:textId="77777777" w:rsidR="005B1AE1" w:rsidRPr="00110467" w:rsidRDefault="005B1AE1" w:rsidP="00C91530">
            <w:pPr>
              <w:ind w:firstLine="240"/>
              <w:rPr>
                <w:rFonts w:ascii="Garamond" w:eastAsia="Times New Roman" w:hAnsi="Garamond"/>
                <w:color w:val="000000"/>
                <w:sz w:val="16"/>
                <w:szCs w:val="16"/>
              </w:rPr>
            </w:pPr>
            <w:r w:rsidRPr="00110467">
              <w:rPr>
                <w:rFonts w:ascii="Garamond" w:eastAsia="Times New Roman" w:hAnsi="Garamond"/>
                <w:color w:val="000000"/>
                <w:sz w:val="16"/>
                <w:szCs w:val="16"/>
              </w:rPr>
              <w:t> </w:t>
            </w:r>
          </w:p>
        </w:tc>
      </w:tr>
    </w:tbl>
    <w:p w14:paraId="6207492D" w14:textId="77777777" w:rsidR="00110467" w:rsidRPr="00110467" w:rsidRDefault="00110467" w:rsidP="00110467">
      <w:pPr>
        <w:spacing w:after="200" w:line="276" w:lineRule="auto"/>
        <w:ind w:left="720"/>
        <w:contextualSpacing/>
        <w:rPr>
          <w:rFonts w:ascii="Garamond" w:eastAsia="Calibri" w:hAnsi="Garamond"/>
          <w:sz w:val="18"/>
          <w:szCs w:val="18"/>
          <w:u w:val="single"/>
          <w:lang w:val="en-US" w:eastAsia="en-US"/>
        </w:rPr>
      </w:pPr>
    </w:p>
    <w:p w14:paraId="4C8F3457" w14:textId="77777777" w:rsidR="00110467" w:rsidRDefault="00110467" w:rsidP="00110467">
      <w:pPr>
        <w:spacing w:after="200" w:line="276" w:lineRule="auto"/>
        <w:contextualSpacing/>
        <w:rPr>
          <w:rFonts w:ascii="Garamond" w:eastAsia="Calibri" w:hAnsi="Garamond"/>
          <w:sz w:val="18"/>
          <w:szCs w:val="18"/>
          <w:u w:val="single"/>
          <w:lang w:val="en-US" w:eastAsia="en-US"/>
        </w:rPr>
      </w:pPr>
    </w:p>
    <w:p w14:paraId="2CD7C426" w14:textId="77777777" w:rsidR="00EB10CD" w:rsidRPr="008641DF" w:rsidRDefault="00EB10CD" w:rsidP="00110467">
      <w:pPr>
        <w:spacing w:after="200" w:line="276" w:lineRule="auto"/>
        <w:contextualSpacing/>
        <w:rPr>
          <w:rFonts w:ascii="Garamond" w:eastAsia="Calibri" w:hAnsi="Garamond"/>
          <w:u w:val="single"/>
          <w:lang w:val="en-US" w:eastAsia="en-US"/>
        </w:rPr>
      </w:pPr>
    </w:p>
    <w:p w14:paraId="6C8CB7C6" w14:textId="77777777" w:rsidR="00D5319E" w:rsidRPr="008641DF" w:rsidRDefault="007112DC" w:rsidP="00F1173D">
      <w:pPr>
        <w:jc w:val="both"/>
        <w:outlineLvl w:val="0"/>
        <w:rPr>
          <w:rFonts w:ascii="Garamond" w:eastAsia="Times New Roman" w:hAnsi="Garamond"/>
          <w:b/>
          <w:iCs/>
          <w:color w:val="000000"/>
        </w:rPr>
      </w:pPr>
      <w:r w:rsidRPr="008641DF">
        <w:rPr>
          <w:rFonts w:ascii="Garamond" w:eastAsia="Times New Roman" w:hAnsi="Garamond"/>
          <w:b/>
          <w:iCs/>
          <w:color w:val="000000"/>
        </w:rPr>
        <w:t>II</w:t>
      </w:r>
      <w:r w:rsidR="007C74EF">
        <w:rPr>
          <w:rFonts w:ascii="Garamond" w:eastAsia="Times New Roman" w:hAnsi="Garamond"/>
          <w:b/>
          <w:iCs/>
          <w:color w:val="000000"/>
        </w:rPr>
        <w:t>.</w:t>
      </w:r>
      <w:r w:rsidRPr="008641DF">
        <w:rPr>
          <w:rFonts w:ascii="Garamond" w:eastAsia="Times New Roman" w:hAnsi="Garamond"/>
          <w:b/>
          <w:iCs/>
          <w:color w:val="000000"/>
        </w:rPr>
        <w:t xml:space="preserve"> </w:t>
      </w:r>
      <w:r w:rsidR="00D5319E" w:rsidRPr="008641DF">
        <w:rPr>
          <w:rFonts w:ascii="Garamond" w:eastAsia="Times New Roman" w:hAnsi="Garamond"/>
          <w:b/>
          <w:iCs/>
          <w:color w:val="000000"/>
        </w:rPr>
        <w:t>Software Requirements</w:t>
      </w:r>
    </w:p>
    <w:p w14:paraId="6D731C31" w14:textId="77777777" w:rsidR="004320A7" w:rsidRPr="000A3C3F" w:rsidRDefault="004320A7" w:rsidP="000A3C3F">
      <w:pPr>
        <w:spacing w:before="100" w:beforeAutospacing="1" w:after="100" w:afterAutospacing="1"/>
        <w:jc w:val="both"/>
        <w:rPr>
          <w:color w:val="000000"/>
        </w:rPr>
      </w:pPr>
      <w:r w:rsidRPr="004320A7">
        <w:rPr>
          <w:rFonts w:ascii="Garamond" w:eastAsia="Times New Roman" w:hAnsi="Garamond"/>
          <w:iCs/>
          <w:color w:val="000000"/>
        </w:rPr>
        <w:t xml:space="preserve">In terms of </w:t>
      </w:r>
      <w:r>
        <w:rPr>
          <w:rFonts w:ascii="Garamond" w:eastAsia="Times New Roman" w:hAnsi="Garamond"/>
          <w:iCs/>
          <w:color w:val="000000"/>
        </w:rPr>
        <w:t>software, the CEQ requires Stata</w:t>
      </w:r>
      <w:r w:rsidR="002578D7">
        <w:rPr>
          <w:rFonts w:ascii="Garamond" w:eastAsia="Times New Roman" w:hAnsi="Garamond"/>
          <w:iCs/>
          <w:color w:val="000000"/>
        </w:rPr>
        <w:t xml:space="preserve"> 13 or newer</w:t>
      </w:r>
      <w:r w:rsidRPr="004320A7">
        <w:rPr>
          <w:rFonts w:ascii="Garamond" w:eastAsia="Times New Roman" w:hAnsi="Garamond"/>
          <w:iCs/>
          <w:color w:val="000000"/>
        </w:rPr>
        <w:t xml:space="preserve"> and Microsoft Excel. You may also use another statist</w:t>
      </w:r>
      <w:r w:rsidR="007F4B5A">
        <w:rPr>
          <w:rFonts w:ascii="Garamond" w:eastAsia="Times New Roman" w:hAnsi="Garamond"/>
          <w:iCs/>
          <w:color w:val="000000"/>
        </w:rPr>
        <w:t xml:space="preserve">ical package such as R or SPSS </w:t>
      </w:r>
      <w:r w:rsidR="002578D7">
        <w:rPr>
          <w:rFonts w:ascii="Garamond" w:eastAsia="Times New Roman" w:hAnsi="Garamond"/>
          <w:iCs/>
          <w:color w:val="000000"/>
        </w:rPr>
        <w:t>instead</w:t>
      </w:r>
      <w:r w:rsidR="007F4B5A">
        <w:rPr>
          <w:rFonts w:ascii="Garamond" w:eastAsia="Times New Roman" w:hAnsi="Garamond"/>
          <w:iCs/>
          <w:color w:val="000000"/>
        </w:rPr>
        <w:t xml:space="preserve"> of Stata</w:t>
      </w:r>
      <w:r w:rsidRPr="004320A7">
        <w:rPr>
          <w:rFonts w:ascii="Garamond" w:eastAsia="Times New Roman" w:hAnsi="Garamond"/>
          <w:iCs/>
          <w:color w:val="000000"/>
        </w:rPr>
        <w:t xml:space="preserve"> to construct the initial dataset </w:t>
      </w:r>
      <w:r w:rsidR="00DB7E0F">
        <w:rPr>
          <w:rFonts w:ascii="Garamond" w:eastAsia="Times New Roman" w:hAnsi="Garamond"/>
          <w:iCs/>
          <w:color w:val="000000"/>
        </w:rPr>
        <w:t>--</w:t>
      </w:r>
      <w:r w:rsidRPr="004320A7">
        <w:rPr>
          <w:rFonts w:ascii="Garamond" w:eastAsia="Times New Roman" w:hAnsi="Garamond"/>
          <w:iCs/>
          <w:color w:val="000000"/>
        </w:rPr>
        <w:t>comprised of the fiscal interventions, the eight CEQ Core Income Concepts, and other variables</w:t>
      </w:r>
      <w:r>
        <w:rPr>
          <w:rFonts w:ascii="Garamond" w:eastAsia="Times New Roman" w:hAnsi="Garamond"/>
          <w:iCs/>
          <w:color w:val="000000"/>
        </w:rPr>
        <w:t>. However,</w:t>
      </w:r>
      <w:r w:rsidRPr="004320A7">
        <w:rPr>
          <w:rFonts w:ascii="Garamond" w:eastAsia="Times New Roman" w:hAnsi="Garamond"/>
          <w:iCs/>
          <w:color w:val="000000"/>
        </w:rPr>
        <w:t xml:space="preserve"> </w:t>
      </w:r>
      <w:r w:rsidR="007F4B5A">
        <w:rPr>
          <w:rFonts w:ascii="Garamond" w:hAnsi="Garamond"/>
          <w:color w:val="000000"/>
        </w:rPr>
        <w:t xml:space="preserve">if you choose to do so, you will </w:t>
      </w:r>
      <w:r w:rsidRPr="001E115A">
        <w:rPr>
          <w:rFonts w:ascii="Garamond" w:hAnsi="Garamond"/>
          <w:color w:val="000000"/>
        </w:rPr>
        <w:t xml:space="preserve">need to transform the final dataset to </w:t>
      </w:r>
      <w:r>
        <w:rPr>
          <w:rFonts w:ascii="Garamond" w:hAnsi="Garamond"/>
          <w:color w:val="000000"/>
        </w:rPr>
        <w:t xml:space="preserve">a file format suitable for </w:t>
      </w:r>
      <w:r w:rsidRPr="001E115A">
        <w:rPr>
          <w:rFonts w:ascii="Garamond" w:hAnsi="Garamond"/>
          <w:color w:val="000000"/>
        </w:rPr>
        <w:t xml:space="preserve">Stata13 or newer </w:t>
      </w:r>
      <w:r>
        <w:rPr>
          <w:rFonts w:ascii="Garamond" w:hAnsi="Garamond"/>
          <w:color w:val="000000"/>
        </w:rPr>
        <w:t>to</w:t>
      </w:r>
      <w:r w:rsidRPr="001E115A">
        <w:rPr>
          <w:rFonts w:ascii="Garamond" w:hAnsi="Garamond"/>
          <w:color w:val="000000"/>
        </w:rPr>
        <w:t xml:space="preserve"> run the CEQ Stata package</w:t>
      </w:r>
      <w:r>
        <w:rPr>
          <w:rFonts w:ascii="Garamond" w:hAnsi="Garamond"/>
          <w:color w:val="000000"/>
        </w:rPr>
        <w:t xml:space="preserve">. </w:t>
      </w:r>
      <w:r w:rsidRPr="004320A7">
        <w:rPr>
          <w:rFonts w:ascii="Garamond" w:eastAsia="Times New Roman" w:hAnsi="Garamond"/>
          <w:iCs/>
          <w:color w:val="000000"/>
        </w:rPr>
        <w:t>Stata 13 (or newer) is required to run the CEQ Stata package</w:t>
      </w:r>
      <w:r>
        <w:rPr>
          <w:rFonts w:ascii="Garamond" w:eastAsia="Times New Roman" w:hAnsi="Garamond"/>
          <w:iCs/>
          <w:color w:val="000000"/>
        </w:rPr>
        <w:t xml:space="preserve"> which </w:t>
      </w:r>
      <w:r w:rsidR="005A274A" w:rsidRPr="008641DF">
        <w:rPr>
          <w:rFonts w:ascii="Garamond" w:eastAsia="Times New Roman" w:hAnsi="Garamond"/>
          <w:iCs/>
          <w:color w:val="000000"/>
        </w:rPr>
        <w:t>computes the CEQ Assessment</w:t>
      </w:r>
      <w:r w:rsidR="005A274A">
        <w:rPr>
          <w:rFonts w:ascii="Garamond" w:eastAsia="Times New Roman" w:hAnsi="Garamond"/>
          <w:iCs/>
          <w:color w:val="000000"/>
        </w:rPr>
        <w:t xml:space="preserve"> analytical quantities, statistics, and indicators,</w:t>
      </w:r>
      <w:r w:rsidR="005A274A" w:rsidRPr="008641DF">
        <w:rPr>
          <w:rFonts w:ascii="Garamond" w:eastAsia="Times New Roman" w:hAnsi="Garamond"/>
          <w:iCs/>
          <w:color w:val="000000"/>
        </w:rPr>
        <w:t xml:space="preserve"> and transfers them to the </w:t>
      </w:r>
      <w:r w:rsidR="005A274A">
        <w:rPr>
          <w:rFonts w:ascii="Garamond" w:eastAsia="Times New Roman" w:hAnsi="Garamond"/>
          <w:iCs/>
          <w:color w:val="000000"/>
        </w:rPr>
        <w:t>Master Workbooks Microsoft Excel files (MWBs)</w:t>
      </w:r>
      <w:r w:rsidR="005A274A" w:rsidRPr="008641DF">
        <w:rPr>
          <w:rFonts w:ascii="Garamond" w:eastAsia="Times New Roman" w:hAnsi="Garamond"/>
          <w:iCs/>
          <w:color w:val="000000"/>
        </w:rPr>
        <w:t>.</w:t>
      </w:r>
      <w:r w:rsidR="005A274A">
        <w:rPr>
          <w:rFonts w:ascii="Garamond" w:eastAsia="Times New Roman" w:hAnsi="Garamond"/>
          <w:iCs/>
          <w:color w:val="000000"/>
        </w:rPr>
        <w:t xml:space="preserve"> </w:t>
      </w:r>
      <w:r w:rsidRPr="001E115A">
        <w:rPr>
          <w:rFonts w:ascii="Garamond" w:hAnsi="Garamond"/>
          <w:color w:val="000000"/>
        </w:rPr>
        <w:t xml:space="preserve">Please </w:t>
      </w:r>
      <w:r w:rsidRPr="001E115A">
        <w:rPr>
          <w:rFonts w:ascii="Garamond" w:hAnsi="Garamond"/>
          <w:color w:val="000000"/>
        </w:rPr>
        <w:lastRenderedPageBreak/>
        <w:t>note t</w:t>
      </w:r>
      <w:r>
        <w:rPr>
          <w:rFonts w:ascii="Garamond" w:hAnsi="Garamond"/>
          <w:color w:val="000000"/>
        </w:rPr>
        <w:t xml:space="preserve">hat </w:t>
      </w:r>
      <w:r w:rsidRPr="001E115A">
        <w:rPr>
          <w:rFonts w:ascii="Garamond" w:hAnsi="Garamond"/>
          <w:color w:val="000000"/>
        </w:rPr>
        <w:t xml:space="preserve">the CEQ Stata package </w:t>
      </w:r>
      <w:r w:rsidR="007F4B5A">
        <w:rPr>
          <w:rFonts w:ascii="Garamond" w:hAnsi="Garamond"/>
          <w:color w:val="000000"/>
        </w:rPr>
        <w:t>contain</w:t>
      </w:r>
      <w:r w:rsidR="00E23C1B">
        <w:rPr>
          <w:rFonts w:ascii="Garamond" w:hAnsi="Garamond"/>
          <w:color w:val="000000"/>
        </w:rPr>
        <w:t>s</w:t>
      </w:r>
      <w:r w:rsidR="007F4B5A">
        <w:rPr>
          <w:rFonts w:ascii="Garamond" w:hAnsi="Garamond"/>
          <w:color w:val="000000"/>
        </w:rPr>
        <w:t xml:space="preserve"> a command </w:t>
      </w:r>
      <w:r w:rsidR="005B47F1">
        <w:rPr>
          <w:rFonts w:ascii="Garamond" w:hAnsi="Garamond"/>
          <w:color w:val="000000"/>
        </w:rPr>
        <w:t>named</w:t>
      </w:r>
      <w:r w:rsidR="007F4B5A">
        <w:rPr>
          <w:rFonts w:ascii="Garamond" w:hAnsi="Garamond"/>
          <w:color w:val="000000"/>
        </w:rPr>
        <w:t xml:space="preserve"> </w:t>
      </w:r>
      <w:proofErr w:type="spellStart"/>
      <w:r w:rsidR="007F4B5A" w:rsidRPr="001E115A">
        <w:rPr>
          <w:rFonts w:ascii="Garamond" w:hAnsi="Garamond"/>
          <w:color w:val="000000"/>
        </w:rPr>
        <w:t>ceqgraph</w:t>
      </w:r>
      <w:proofErr w:type="spellEnd"/>
      <w:r w:rsidR="00E23C1B">
        <w:rPr>
          <w:rFonts w:ascii="Garamond" w:hAnsi="Garamond"/>
          <w:color w:val="000000"/>
        </w:rPr>
        <w:t>,</w:t>
      </w:r>
      <w:r w:rsidR="00845069">
        <w:rPr>
          <w:rFonts w:ascii="Garamond" w:hAnsi="Garamond"/>
          <w:color w:val="000000"/>
        </w:rPr>
        <w:t xml:space="preserve"> which</w:t>
      </w:r>
      <w:r w:rsidR="007F4B5A">
        <w:rPr>
          <w:rFonts w:ascii="Garamond" w:hAnsi="Garamond"/>
          <w:color w:val="000000"/>
        </w:rPr>
        <w:t xml:space="preserve"> </w:t>
      </w:r>
      <w:r w:rsidR="00845069">
        <w:rPr>
          <w:rFonts w:ascii="Garamond" w:hAnsi="Garamond"/>
          <w:color w:val="000000"/>
        </w:rPr>
        <w:t xml:space="preserve">houses four subcommands (progressivity, </w:t>
      </w:r>
      <w:proofErr w:type="spellStart"/>
      <w:r w:rsidR="00845069">
        <w:rPr>
          <w:rFonts w:ascii="Garamond" w:hAnsi="Garamond"/>
          <w:color w:val="000000"/>
        </w:rPr>
        <w:t>conc</w:t>
      </w:r>
      <w:proofErr w:type="spellEnd"/>
      <w:r w:rsidR="00845069">
        <w:rPr>
          <w:rFonts w:ascii="Garamond" w:hAnsi="Garamond"/>
          <w:color w:val="000000"/>
        </w:rPr>
        <w:t xml:space="preserve">, </w:t>
      </w:r>
      <w:proofErr w:type="spellStart"/>
      <w:r w:rsidR="00845069">
        <w:rPr>
          <w:rFonts w:ascii="Garamond" w:hAnsi="Garamond"/>
          <w:color w:val="000000"/>
        </w:rPr>
        <w:t>cdf</w:t>
      </w:r>
      <w:proofErr w:type="spellEnd"/>
      <w:r w:rsidR="00845069">
        <w:rPr>
          <w:rFonts w:ascii="Garamond" w:hAnsi="Garamond"/>
          <w:color w:val="000000"/>
        </w:rPr>
        <w:t>, fi)</w:t>
      </w:r>
      <w:r w:rsidR="00D40AED">
        <w:rPr>
          <w:rFonts w:ascii="Garamond" w:hAnsi="Garamond"/>
          <w:color w:val="000000"/>
        </w:rPr>
        <w:t>;</w:t>
      </w:r>
      <w:r w:rsidR="00845069">
        <w:rPr>
          <w:rFonts w:ascii="Garamond" w:hAnsi="Garamond"/>
          <w:color w:val="000000"/>
        </w:rPr>
        <w:t xml:space="preserve"> </w:t>
      </w:r>
      <w:r w:rsidR="00D40AED">
        <w:rPr>
          <w:rFonts w:ascii="Garamond" w:hAnsi="Garamond"/>
          <w:color w:val="000000"/>
        </w:rPr>
        <w:t>e</w:t>
      </w:r>
      <w:r w:rsidR="00845069">
        <w:rPr>
          <w:rFonts w:ascii="Garamond" w:hAnsi="Garamond"/>
          <w:color w:val="000000"/>
        </w:rPr>
        <w:t xml:space="preserve">ach subcommand </w:t>
      </w:r>
      <w:r w:rsidR="007F4B5A">
        <w:rPr>
          <w:rFonts w:ascii="Garamond" w:hAnsi="Garamond"/>
          <w:color w:val="000000"/>
        </w:rPr>
        <w:t>produce graphs</w:t>
      </w:r>
      <w:r w:rsidR="00E23C1B">
        <w:rPr>
          <w:rFonts w:ascii="Garamond" w:hAnsi="Garamond"/>
          <w:color w:val="000000"/>
        </w:rPr>
        <w:t xml:space="preserve"> that</w:t>
      </w:r>
      <w:r w:rsidR="007F4B5A">
        <w:rPr>
          <w:rFonts w:ascii="Garamond" w:hAnsi="Garamond"/>
          <w:color w:val="000000"/>
        </w:rPr>
        <w:t xml:space="preserve"> </w:t>
      </w:r>
      <w:r w:rsidR="007F4B5A" w:rsidRPr="001E115A">
        <w:rPr>
          <w:rFonts w:ascii="Garamond" w:hAnsi="Garamond"/>
          <w:color w:val="000000"/>
        </w:rPr>
        <w:t xml:space="preserve">can </w:t>
      </w:r>
      <w:r w:rsidR="007F4B5A">
        <w:rPr>
          <w:rFonts w:ascii="Garamond" w:hAnsi="Garamond"/>
          <w:color w:val="000000"/>
        </w:rPr>
        <w:t xml:space="preserve">be </w:t>
      </w:r>
      <w:r w:rsidR="007F4B5A" w:rsidRPr="001E115A">
        <w:rPr>
          <w:rFonts w:ascii="Garamond" w:hAnsi="Garamond"/>
          <w:color w:val="000000"/>
        </w:rPr>
        <w:t xml:space="preserve">automatically </w:t>
      </w:r>
      <w:r w:rsidR="00845069" w:rsidRPr="001E115A">
        <w:rPr>
          <w:rFonts w:ascii="Garamond" w:hAnsi="Garamond"/>
          <w:color w:val="000000"/>
        </w:rPr>
        <w:t>transfer</w:t>
      </w:r>
      <w:r w:rsidR="00845069">
        <w:rPr>
          <w:rFonts w:ascii="Garamond" w:hAnsi="Garamond"/>
          <w:color w:val="000000"/>
        </w:rPr>
        <w:t>red</w:t>
      </w:r>
      <w:r w:rsidR="007F4B5A" w:rsidRPr="001E115A">
        <w:rPr>
          <w:rFonts w:ascii="Garamond" w:hAnsi="Garamond"/>
          <w:color w:val="000000"/>
        </w:rPr>
        <w:t xml:space="preserve"> </w:t>
      </w:r>
      <w:r w:rsidRPr="001E115A">
        <w:rPr>
          <w:rFonts w:ascii="Garamond" w:hAnsi="Garamond"/>
          <w:color w:val="000000"/>
        </w:rPr>
        <w:t xml:space="preserve">to their corresponding sheets of </w:t>
      </w:r>
      <w:r w:rsidR="007F4B5A">
        <w:rPr>
          <w:rFonts w:ascii="Garamond" w:hAnsi="Garamond"/>
          <w:color w:val="000000"/>
        </w:rPr>
        <w:t xml:space="preserve">the MWB </w:t>
      </w:r>
      <w:r w:rsidR="007F4B5A" w:rsidRPr="001E115A">
        <w:rPr>
          <w:rFonts w:ascii="Garamond" w:hAnsi="Garamond"/>
          <w:color w:val="000000"/>
        </w:rPr>
        <w:t>Section E</w:t>
      </w:r>
      <w:r w:rsidR="00845069">
        <w:rPr>
          <w:rFonts w:ascii="Garamond" w:hAnsi="Garamond"/>
          <w:color w:val="000000"/>
        </w:rPr>
        <w:t xml:space="preserve"> </w:t>
      </w:r>
      <w:r w:rsidR="00845069" w:rsidRPr="001E115A">
        <w:rPr>
          <w:rFonts w:ascii="Garamond" w:hAnsi="Garamond"/>
          <w:color w:val="000000"/>
        </w:rPr>
        <w:t>if the subcommands are run using Stata 14.1 or newer</w:t>
      </w:r>
      <w:r w:rsidR="00845069">
        <w:rPr>
          <w:rFonts w:ascii="Garamond" w:hAnsi="Garamond"/>
          <w:color w:val="000000"/>
        </w:rPr>
        <w:t>.</w:t>
      </w:r>
      <w:r w:rsidRPr="001E115A">
        <w:rPr>
          <w:rFonts w:ascii="Garamond" w:hAnsi="Garamond"/>
          <w:color w:val="000000"/>
        </w:rPr>
        <w:t xml:space="preserve"> </w:t>
      </w:r>
      <w:r>
        <w:rPr>
          <w:rFonts w:ascii="Garamond" w:hAnsi="Garamond"/>
          <w:color w:val="000000"/>
        </w:rPr>
        <w:t>I</w:t>
      </w:r>
      <w:r w:rsidRPr="001E115A">
        <w:rPr>
          <w:rFonts w:ascii="Garamond" w:hAnsi="Garamond"/>
          <w:color w:val="000000"/>
        </w:rPr>
        <w:t xml:space="preserve">f </w:t>
      </w:r>
      <w:r>
        <w:rPr>
          <w:rFonts w:ascii="Garamond" w:hAnsi="Garamond"/>
          <w:color w:val="000000"/>
        </w:rPr>
        <w:t xml:space="preserve">you are using an older version of </w:t>
      </w:r>
      <w:r w:rsidRPr="001E115A">
        <w:rPr>
          <w:rFonts w:ascii="Garamond" w:hAnsi="Garamond"/>
          <w:color w:val="000000"/>
        </w:rPr>
        <w:t>Stata, these graphs can be manually pasted into the MWBs.</w:t>
      </w:r>
    </w:p>
    <w:p w14:paraId="740D67FA" w14:textId="77777777" w:rsidR="004320A7" w:rsidRDefault="004320A7" w:rsidP="00DD7F2F">
      <w:pPr>
        <w:jc w:val="both"/>
        <w:rPr>
          <w:rFonts w:ascii="Garamond" w:eastAsia="Times New Roman" w:hAnsi="Garamond"/>
          <w:iCs/>
          <w:color w:val="000000"/>
        </w:rPr>
      </w:pPr>
      <w:r w:rsidRPr="00C4460B">
        <w:rPr>
          <w:rFonts w:ascii="Garamond" w:eastAsia="Times New Roman" w:hAnsi="Garamond"/>
          <w:iCs/>
          <w:color w:val="000000"/>
        </w:rPr>
        <w:t xml:space="preserve">A detailed description of the CEQ Stata Package can be found in </w:t>
      </w:r>
      <w:r>
        <w:rPr>
          <w:rFonts w:ascii="Garamond" w:eastAsia="Times New Roman" w:hAnsi="Garamond"/>
          <w:iCs/>
          <w:color w:val="000000"/>
        </w:rPr>
        <w:t xml:space="preserve">either CEQ Handbook </w:t>
      </w:r>
      <w:r w:rsidRPr="00C4460B">
        <w:rPr>
          <w:rFonts w:ascii="Garamond" w:eastAsia="Times New Roman" w:hAnsi="Garamond"/>
          <w:iCs/>
          <w:color w:val="000000"/>
        </w:rPr>
        <w:t xml:space="preserve">Chapter 8 </w:t>
      </w:r>
      <w:r>
        <w:rPr>
          <w:rFonts w:ascii="Garamond" w:eastAsia="Times New Roman" w:hAnsi="Garamond"/>
          <w:iCs/>
          <w:color w:val="000000"/>
        </w:rPr>
        <w:t xml:space="preserve">or </w:t>
      </w:r>
      <w:r w:rsidRPr="00C4460B">
        <w:rPr>
          <w:rFonts w:ascii="Garamond" w:eastAsia="Times New Roman" w:hAnsi="Garamond"/>
          <w:iCs/>
          <w:color w:val="000000"/>
        </w:rPr>
        <w:t>9.</w:t>
      </w:r>
    </w:p>
    <w:p w14:paraId="415ADC7A" w14:textId="77777777" w:rsidR="00423165" w:rsidRPr="00DD0EC4" w:rsidRDefault="00423165"/>
    <w:sectPr w:rsidR="00423165" w:rsidRPr="00DD0EC4" w:rsidSect="0016317C">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0754B" w14:textId="77777777" w:rsidR="00AC680F" w:rsidRDefault="00AC680F" w:rsidP="0072035D">
      <w:r>
        <w:separator/>
      </w:r>
    </w:p>
  </w:endnote>
  <w:endnote w:type="continuationSeparator" w:id="0">
    <w:p w14:paraId="14FC79D2" w14:textId="77777777" w:rsidR="00AC680F" w:rsidRDefault="00AC680F" w:rsidP="0072035D">
      <w:r>
        <w:continuationSeparator/>
      </w:r>
    </w:p>
  </w:endnote>
  <w:endnote w:type="continuationNotice" w:id="1">
    <w:p w14:paraId="329A492C" w14:textId="77777777" w:rsidR="00AC680F" w:rsidRDefault="00AC6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37A17" w14:textId="77777777" w:rsidR="00AC680F" w:rsidRDefault="00AC680F" w:rsidP="0072035D">
      <w:r>
        <w:separator/>
      </w:r>
    </w:p>
  </w:footnote>
  <w:footnote w:type="continuationSeparator" w:id="0">
    <w:p w14:paraId="08B443DD" w14:textId="77777777" w:rsidR="00AC680F" w:rsidRDefault="00AC680F" w:rsidP="0072035D">
      <w:r>
        <w:continuationSeparator/>
      </w:r>
    </w:p>
  </w:footnote>
  <w:footnote w:type="continuationNotice" w:id="1">
    <w:p w14:paraId="3027EEC3" w14:textId="77777777" w:rsidR="00AC680F" w:rsidRDefault="00AC680F"/>
  </w:footnote>
  <w:footnote w:id="2">
    <w:p w14:paraId="2CA66D59" w14:textId="77777777" w:rsidR="00034E29" w:rsidRPr="007976B8" w:rsidRDefault="00034E29" w:rsidP="00E4377A">
      <w:pPr>
        <w:pStyle w:val="Textonotapie"/>
      </w:pPr>
      <w:r>
        <w:rPr>
          <w:rStyle w:val="Refdenotaalpie"/>
        </w:rPr>
        <w:footnoteRef/>
      </w:r>
      <w:r>
        <w:t xml:space="preserve"> See also the introductory and first chapters of this Handbook for additional references to the steps covered in this chapter.</w:t>
      </w:r>
    </w:p>
  </w:footnote>
  <w:footnote w:id="3">
    <w:p w14:paraId="07BDBC23" w14:textId="77777777" w:rsidR="00034E29" w:rsidRPr="00B43978" w:rsidRDefault="00034E29">
      <w:pPr>
        <w:pStyle w:val="Textonotapie"/>
        <w:rPr>
          <w:lang w:val="en-US"/>
        </w:rPr>
      </w:pPr>
      <w:r>
        <w:rPr>
          <w:rStyle w:val="Refdenotaalpie"/>
        </w:rPr>
        <w:footnoteRef/>
      </w:r>
      <w:r>
        <w:t xml:space="preserve"> </w:t>
      </w:r>
      <w:r w:rsidRPr="00B43978">
        <w:rPr>
          <w:lang w:val="en-US"/>
        </w:rPr>
        <w:t xml:space="preserve">See </w:t>
      </w:r>
      <w:hyperlink r:id="rId1" w:history="1">
        <w:r w:rsidRPr="00B43978">
          <w:rPr>
            <w:rStyle w:val="Hipervnculo"/>
            <w:lang w:val="en-US"/>
          </w:rPr>
          <w:t>https://dhsprogram.com/data/</w:t>
        </w:r>
      </w:hyperlink>
      <w:r>
        <w:rPr>
          <w:lang w:val="en-US"/>
        </w:rPr>
        <w:t xml:space="preserve"> for more datasets available and more information on Demographic and Health Surveys.</w:t>
      </w:r>
    </w:p>
  </w:footnote>
  <w:footnote w:id="4">
    <w:p w14:paraId="14E74529" w14:textId="77777777" w:rsidR="00034E29" w:rsidRPr="0007594E" w:rsidRDefault="00034E29">
      <w:pPr>
        <w:pStyle w:val="Textonotapie"/>
        <w:rPr>
          <w:lang w:val="en-US"/>
        </w:rPr>
      </w:pPr>
      <w:r>
        <w:rPr>
          <w:rStyle w:val="Refdenotaalpie"/>
        </w:rPr>
        <w:footnoteRef/>
      </w:r>
      <w:r>
        <w:t xml:space="preserve"> </w:t>
      </w:r>
      <w:proofErr w:type="spellStart"/>
      <w:r>
        <w:rPr>
          <w:lang w:val="en-US"/>
        </w:rPr>
        <w:t>Disaggregations</w:t>
      </w:r>
      <w:proofErr w:type="spellEnd"/>
      <w:r>
        <w:rPr>
          <w:lang w:val="en-US"/>
        </w:rPr>
        <w:t xml:space="preserve"> by functional or economic classification are occasionally useful, but a disaggregation into sub-programs (from the point of view of a benefit recipient) is more desirable for CEQ Assessment purposes.</w:t>
      </w:r>
    </w:p>
  </w:footnote>
  <w:footnote w:id="5">
    <w:p w14:paraId="07550373" w14:textId="77777777" w:rsidR="00034E29" w:rsidRPr="00EB3DBE" w:rsidRDefault="00034E29">
      <w:pPr>
        <w:pStyle w:val="Textonotapie"/>
      </w:pPr>
      <w:r>
        <w:rPr>
          <w:rStyle w:val="Refdenotaalpie"/>
        </w:rPr>
        <w:footnoteRef/>
      </w:r>
      <w:r>
        <w:t xml:space="preserve"> </w:t>
      </w:r>
      <w:r w:rsidRPr="00EB3DBE">
        <w:t>It is important to mention that, according to the System of National Accounts</w:t>
      </w:r>
      <w:r>
        <w:t xml:space="preserve"> 2008 (2009)</w:t>
      </w:r>
      <w:r w:rsidRPr="00EB3DBE">
        <w:t xml:space="preserve">, the General Government consists of central, </w:t>
      </w:r>
      <w:proofErr w:type="gramStart"/>
      <w:r w:rsidRPr="00EB3DBE">
        <w:t>state</w:t>
      </w:r>
      <w:proofErr w:type="gramEnd"/>
      <w:r w:rsidRPr="00EB3DBE">
        <w:t xml:space="preserve"> and local governments, </w:t>
      </w:r>
      <w:r>
        <w:t>together with</w:t>
      </w:r>
      <w:r w:rsidRPr="00EB3DBE">
        <w:t xml:space="preserve"> the social security funds </w:t>
      </w:r>
      <w:r>
        <w:t xml:space="preserve">imposed and </w:t>
      </w:r>
      <w:r w:rsidRPr="00EB3DBE">
        <w:t xml:space="preserve">controlled by these units. </w:t>
      </w:r>
      <w:r>
        <w:t>In addition, it includes non-profit institutions</w:t>
      </w:r>
      <w:r w:rsidRPr="00EB3DBE">
        <w:t xml:space="preserve"> engaged in non-market production that are controlled by government units or social security funds.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9E0B212"/>
    <w:lvl w:ilvl="0">
      <w:start w:val="1"/>
      <w:numFmt w:val="decimal"/>
      <w:pStyle w:val="Listaconnmeros3"/>
      <w:lvlText w:val="%1."/>
      <w:lvlJc w:val="left"/>
      <w:pPr>
        <w:tabs>
          <w:tab w:val="num" w:pos="1080"/>
        </w:tabs>
        <w:ind w:left="1080" w:hanging="360"/>
      </w:pPr>
    </w:lvl>
  </w:abstractNum>
  <w:abstractNum w:abstractNumId="1" w15:restartNumberingAfterBreak="0">
    <w:nsid w:val="031B4A8D"/>
    <w:multiLevelType w:val="multilevel"/>
    <w:tmpl w:val="9B5A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23E77"/>
    <w:multiLevelType w:val="multilevel"/>
    <w:tmpl w:val="1472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3787F"/>
    <w:multiLevelType w:val="multilevel"/>
    <w:tmpl w:val="01AA19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A3A401F"/>
    <w:multiLevelType w:val="hybridMultilevel"/>
    <w:tmpl w:val="7316A4F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413631"/>
    <w:multiLevelType w:val="hybridMultilevel"/>
    <w:tmpl w:val="6706B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324788C"/>
    <w:multiLevelType w:val="multilevel"/>
    <w:tmpl w:val="AF527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83B1B"/>
    <w:multiLevelType w:val="hybridMultilevel"/>
    <w:tmpl w:val="94B687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D9925C9"/>
    <w:multiLevelType w:val="hybridMultilevel"/>
    <w:tmpl w:val="EBBE87B0"/>
    <w:lvl w:ilvl="0" w:tplc="FFB0BF0A">
      <w:start w:val="1"/>
      <w:numFmt w:val="decimal"/>
      <w:lvlText w:val="%1."/>
      <w:lvlJc w:val="left"/>
      <w:pPr>
        <w:ind w:left="720" w:hanging="360"/>
      </w:pPr>
      <w:rPr>
        <w:rFonts w:ascii="Garamond" w:hAnsi="Garamond"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1A4D7C"/>
    <w:multiLevelType w:val="hybridMultilevel"/>
    <w:tmpl w:val="6518D234"/>
    <w:lvl w:ilvl="0" w:tplc="C1B02BA4">
      <w:start w:val="1"/>
      <w:numFmt w:val="decimal"/>
      <w:lvlText w:val="%1."/>
      <w:lvlJc w:val="left"/>
      <w:pPr>
        <w:ind w:left="720" w:hanging="360"/>
      </w:pPr>
      <w:rPr>
        <w:rFonts w:ascii="Garamond" w:hAnsi="Garamond" w:hint="default"/>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2"/>
  </w:num>
  <w:num w:numId="5">
    <w:abstractNumId w:val="6"/>
  </w:num>
  <w:num w:numId="6">
    <w:abstractNumId w:val="1"/>
  </w:num>
  <w:num w:numId="7">
    <w:abstractNumId w:val="4"/>
  </w:num>
  <w:num w:numId="8">
    <w:abstractNumId w:val="8"/>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B4"/>
    <w:rsid w:val="00007D01"/>
    <w:rsid w:val="000179C5"/>
    <w:rsid w:val="00026198"/>
    <w:rsid w:val="00026A0F"/>
    <w:rsid w:val="00034E29"/>
    <w:rsid w:val="00046490"/>
    <w:rsid w:val="00050127"/>
    <w:rsid w:val="0006057D"/>
    <w:rsid w:val="0006470C"/>
    <w:rsid w:val="00066DB9"/>
    <w:rsid w:val="00073942"/>
    <w:rsid w:val="0007594E"/>
    <w:rsid w:val="000770A6"/>
    <w:rsid w:val="00093F6E"/>
    <w:rsid w:val="000A0E6D"/>
    <w:rsid w:val="000A378C"/>
    <w:rsid w:val="000A3C3F"/>
    <w:rsid w:val="000A671A"/>
    <w:rsid w:val="000C3FDA"/>
    <w:rsid w:val="000D3923"/>
    <w:rsid w:val="000D4EC2"/>
    <w:rsid w:val="000D6869"/>
    <w:rsid w:val="000E2D02"/>
    <w:rsid w:val="000E5B14"/>
    <w:rsid w:val="000F5F73"/>
    <w:rsid w:val="00104E22"/>
    <w:rsid w:val="00110467"/>
    <w:rsid w:val="001257FC"/>
    <w:rsid w:val="00160A2C"/>
    <w:rsid w:val="0016317C"/>
    <w:rsid w:val="00164A71"/>
    <w:rsid w:val="00172004"/>
    <w:rsid w:val="00175567"/>
    <w:rsid w:val="001778D0"/>
    <w:rsid w:val="001B3BE9"/>
    <w:rsid w:val="001C6293"/>
    <w:rsid w:val="001E0A2D"/>
    <w:rsid w:val="001E7B3C"/>
    <w:rsid w:val="001F10D0"/>
    <w:rsid w:val="001F210A"/>
    <w:rsid w:val="0020381C"/>
    <w:rsid w:val="002042CE"/>
    <w:rsid w:val="002112B3"/>
    <w:rsid w:val="00221119"/>
    <w:rsid w:val="00225A3B"/>
    <w:rsid w:val="00231BB9"/>
    <w:rsid w:val="00243BA5"/>
    <w:rsid w:val="002474B9"/>
    <w:rsid w:val="002520CA"/>
    <w:rsid w:val="002578D7"/>
    <w:rsid w:val="00263A18"/>
    <w:rsid w:val="002654D7"/>
    <w:rsid w:val="00273938"/>
    <w:rsid w:val="0027524D"/>
    <w:rsid w:val="00280627"/>
    <w:rsid w:val="00297E6B"/>
    <w:rsid w:val="002A1782"/>
    <w:rsid w:val="002A1DAE"/>
    <w:rsid w:val="002A3EE4"/>
    <w:rsid w:val="002C42C7"/>
    <w:rsid w:val="002C70FB"/>
    <w:rsid w:val="002D21F5"/>
    <w:rsid w:val="002D471E"/>
    <w:rsid w:val="002D5E14"/>
    <w:rsid w:val="002F1BD8"/>
    <w:rsid w:val="002F71AA"/>
    <w:rsid w:val="003026BD"/>
    <w:rsid w:val="003103D7"/>
    <w:rsid w:val="00313C35"/>
    <w:rsid w:val="0031681A"/>
    <w:rsid w:val="00324E8B"/>
    <w:rsid w:val="00332BD5"/>
    <w:rsid w:val="003675FA"/>
    <w:rsid w:val="0037237B"/>
    <w:rsid w:val="00373660"/>
    <w:rsid w:val="00373B8C"/>
    <w:rsid w:val="00385AF2"/>
    <w:rsid w:val="003A2485"/>
    <w:rsid w:val="003A2FEF"/>
    <w:rsid w:val="003B75B6"/>
    <w:rsid w:val="003E356A"/>
    <w:rsid w:val="003F0610"/>
    <w:rsid w:val="004027AF"/>
    <w:rsid w:val="00406284"/>
    <w:rsid w:val="00406538"/>
    <w:rsid w:val="004105A5"/>
    <w:rsid w:val="004128DD"/>
    <w:rsid w:val="00423165"/>
    <w:rsid w:val="004259F8"/>
    <w:rsid w:val="00430D40"/>
    <w:rsid w:val="004320A7"/>
    <w:rsid w:val="00432599"/>
    <w:rsid w:val="0044316D"/>
    <w:rsid w:val="004440BE"/>
    <w:rsid w:val="00445DAD"/>
    <w:rsid w:val="00446DAE"/>
    <w:rsid w:val="004570E2"/>
    <w:rsid w:val="004608B7"/>
    <w:rsid w:val="00463147"/>
    <w:rsid w:val="0046322A"/>
    <w:rsid w:val="004640BA"/>
    <w:rsid w:val="004659DC"/>
    <w:rsid w:val="00466240"/>
    <w:rsid w:val="00466DA9"/>
    <w:rsid w:val="00494030"/>
    <w:rsid w:val="00494910"/>
    <w:rsid w:val="004A1562"/>
    <w:rsid w:val="004A71AE"/>
    <w:rsid w:val="004E3CFF"/>
    <w:rsid w:val="004E4EC5"/>
    <w:rsid w:val="004E6238"/>
    <w:rsid w:val="004E666C"/>
    <w:rsid w:val="004F00E1"/>
    <w:rsid w:val="00526313"/>
    <w:rsid w:val="0053432A"/>
    <w:rsid w:val="005361EE"/>
    <w:rsid w:val="00554695"/>
    <w:rsid w:val="00563C66"/>
    <w:rsid w:val="005720C0"/>
    <w:rsid w:val="005867FC"/>
    <w:rsid w:val="00590553"/>
    <w:rsid w:val="00591982"/>
    <w:rsid w:val="005937C6"/>
    <w:rsid w:val="00595151"/>
    <w:rsid w:val="005A274A"/>
    <w:rsid w:val="005A67BA"/>
    <w:rsid w:val="005B0967"/>
    <w:rsid w:val="005B0F5E"/>
    <w:rsid w:val="005B1AE1"/>
    <w:rsid w:val="005B47F1"/>
    <w:rsid w:val="005C0172"/>
    <w:rsid w:val="005C411A"/>
    <w:rsid w:val="005C6139"/>
    <w:rsid w:val="005C7667"/>
    <w:rsid w:val="005E15BA"/>
    <w:rsid w:val="005E5E3A"/>
    <w:rsid w:val="005F7D59"/>
    <w:rsid w:val="00607FD2"/>
    <w:rsid w:val="00611E72"/>
    <w:rsid w:val="0061700C"/>
    <w:rsid w:val="006234F1"/>
    <w:rsid w:val="0063054F"/>
    <w:rsid w:val="0063364E"/>
    <w:rsid w:val="00636BB8"/>
    <w:rsid w:val="00641B95"/>
    <w:rsid w:val="0065486B"/>
    <w:rsid w:val="0065491F"/>
    <w:rsid w:val="00661103"/>
    <w:rsid w:val="0066559E"/>
    <w:rsid w:val="0066674C"/>
    <w:rsid w:val="00667626"/>
    <w:rsid w:val="00672083"/>
    <w:rsid w:val="00672400"/>
    <w:rsid w:val="00684DB9"/>
    <w:rsid w:val="00693FA2"/>
    <w:rsid w:val="006A5B15"/>
    <w:rsid w:val="006C4FEA"/>
    <w:rsid w:val="006C6120"/>
    <w:rsid w:val="006D040A"/>
    <w:rsid w:val="006E35B3"/>
    <w:rsid w:val="006F2338"/>
    <w:rsid w:val="00706550"/>
    <w:rsid w:val="007112DC"/>
    <w:rsid w:val="007114FF"/>
    <w:rsid w:val="007166C1"/>
    <w:rsid w:val="0072035D"/>
    <w:rsid w:val="007236B3"/>
    <w:rsid w:val="00730551"/>
    <w:rsid w:val="0073137A"/>
    <w:rsid w:val="00741DB6"/>
    <w:rsid w:val="00761F0A"/>
    <w:rsid w:val="007800ED"/>
    <w:rsid w:val="00785D75"/>
    <w:rsid w:val="0078765C"/>
    <w:rsid w:val="0079096B"/>
    <w:rsid w:val="00795B84"/>
    <w:rsid w:val="007976B8"/>
    <w:rsid w:val="007B50B5"/>
    <w:rsid w:val="007C74EF"/>
    <w:rsid w:val="007D32AA"/>
    <w:rsid w:val="007D45EF"/>
    <w:rsid w:val="007F4B5A"/>
    <w:rsid w:val="00800339"/>
    <w:rsid w:val="00804511"/>
    <w:rsid w:val="00804D3F"/>
    <w:rsid w:val="00836055"/>
    <w:rsid w:val="00837656"/>
    <w:rsid w:val="00840F73"/>
    <w:rsid w:val="0084160E"/>
    <w:rsid w:val="00845069"/>
    <w:rsid w:val="00854C54"/>
    <w:rsid w:val="008556CB"/>
    <w:rsid w:val="00862CC9"/>
    <w:rsid w:val="008641DF"/>
    <w:rsid w:val="00866E1E"/>
    <w:rsid w:val="0086772B"/>
    <w:rsid w:val="008756C2"/>
    <w:rsid w:val="00876498"/>
    <w:rsid w:val="00883FF6"/>
    <w:rsid w:val="00891DEF"/>
    <w:rsid w:val="008A2349"/>
    <w:rsid w:val="008A36DF"/>
    <w:rsid w:val="008B2681"/>
    <w:rsid w:val="008B6BBB"/>
    <w:rsid w:val="008D22B4"/>
    <w:rsid w:val="008D41DB"/>
    <w:rsid w:val="008D5F93"/>
    <w:rsid w:val="00923876"/>
    <w:rsid w:val="00933078"/>
    <w:rsid w:val="00950D52"/>
    <w:rsid w:val="00952F5A"/>
    <w:rsid w:val="009532D4"/>
    <w:rsid w:val="00967CE0"/>
    <w:rsid w:val="00972D24"/>
    <w:rsid w:val="00983ECA"/>
    <w:rsid w:val="009A3DC5"/>
    <w:rsid w:val="009A5633"/>
    <w:rsid w:val="009A7F59"/>
    <w:rsid w:val="009B21B6"/>
    <w:rsid w:val="009B33A0"/>
    <w:rsid w:val="009C0346"/>
    <w:rsid w:val="009C2DD7"/>
    <w:rsid w:val="009D1788"/>
    <w:rsid w:val="009D567E"/>
    <w:rsid w:val="009D5D1F"/>
    <w:rsid w:val="009E1A66"/>
    <w:rsid w:val="009E76A6"/>
    <w:rsid w:val="009F1F3D"/>
    <w:rsid w:val="00A3163D"/>
    <w:rsid w:val="00A4049E"/>
    <w:rsid w:val="00A41F73"/>
    <w:rsid w:val="00A80827"/>
    <w:rsid w:val="00A959CB"/>
    <w:rsid w:val="00A96EAD"/>
    <w:rsid w:val="00A97D35"/>
    <w:rsid w:val="00AA4B88"/>
    <w:rsid w:val="00AB35C2"/>
    <w:rsid w:val="00AB770C"/>
    <w:rsid w:val="00AC0070"/>
    <w:rsid w:val="00AC31C8"/>
    <w:rsid w:val="00AC680F"/>
    <w:rsid w:val="00AE6FD5"/>
    <w:rsid w:val="00B16246"/>
    <w:rsid w:val="00B341A9"/>
    <w:rsid w:val="00B43978"/>
    <w:rsid w:val="00B4498E"/>
    <w:rsid w:val="00B45B4C"/>
    <w:rsid w:val="00B56ED3"/>
    <w:rsid w:val="00B66BF3"/>
    <w:rsid w:val="00B84381"/>
    <w:rsid w:val="00B90509"/>
    <w:rsid w:val="00B9180A"/>
    <w:rsid w:val="00B9560B"/>
    <w:rsid w:val="00BA1DDE"/>
    <w:rsid w:val="00BB07C4"/>
    <w:rsid w:val="00BB3E7E"/>
    <w:rsid w:val="00BB5B0A"/>
    <w:rsid w:val="00BC3A01"/>
    <w:rsid w:val="00BC4F72"/>
    <w:rsid w:val="00BD7BB9"/>
    <w:rsid w:val="00BF302B"/>
    <w:rsid w:val="00BF5FA0"/>
    <w:rsid w:val="00C00165"/>
    <w:rsid w:val="00C015F4"/>
    <w:rsid w:val="00C04E4B"/>
    <w:rsid w:val="00C06492"/>
    <w:rsid w:val="00C124B9"/>
    <w:rsid w:val="00C20127"/>
    <w:rsid w:val="00C2586C"/>
    <w:rsid w:val="00C317EE"/>
    <w:rsid w:val="00C345BB"/>
    <w:rsid w:val="00C433FF"/>
    <w:rsid w:val="00C4460B"/>
    <w:rsid w:val="00C52CE9"/>
    <w:rsid w:val="00C52E60"/>
    <w:rsid w:val="00C80B18"/>
    <w:rsid w:val="00C83B9B"/>
    <w:rsid w:val="00C846EE"/>
    <w:rsid w:val="00C91530"/>
    <w:rsid w:val="00C979D6"/>
    <w:rsid w:val="00C97CFC"/>
    <w:rsid w:val="00CA2896"/>
    <w:rsid w:val="00CC02FF"/>
    <w:rsid w:val="00CC3CD5"/>
    <w:rsid w:val="00CD3699"/>
    <w:rsid w:val="00CF16B8"/>
    <w:rsid w:val="00D16719"/>
    <w:rsid w:val="00D33D68"/>
    <w:rsid w:val="00D40AED"/>
    <w:rsid w:val="00D50C40"/>
    <w:rsid w:val="00D5319E"/>
    <w:rsid w:val="00D5416D"/>
    <w:rsid w:val="00D5499B"/>
    <w:rsid w:val="00D623D5"/>
    <w:rsid w:val="00D63D95"/>
    <w:rsid w:val="00D64FC8"/>
    <w:rsid w:val="00D918E9"/>
    <w:rsid w:val="00D929D2"/>
    <w:rsid w:val="00DB11B4"/>
    <w:rsid w:val="00DB7E0F"/>
    <w:rsid w:val="00DC271C"/>
    <w:rsid w:val="00DD0EC4"/>
    <w:rsid w:val="00DD7F2F"/>
    <w:rsid w:val="00DE1465"/>
    <w:rsid w:val="00DE73DC"/>
    <w:rsid w:val="00E06F78"/>
    <w:rsid w:val="00E12996"/>
    <w:rsid w:val="00E20D77"/>
    <w:rsid w:val="00E23C1B"/>
    <w:rsid w:val="00E32B7C"/>
    <w:rsid w:val="00E37B37"/>
    <w:rsid w:val="00E417A9"/>
    <w:rsid w:val="00E41873"/>
    <w:rsid w:val="00E4377A"/>
    <w:rsid w:val="00E76E73"/>
    <w:rsid w:val="00E914CE"/>
    <w:rsid w:val="00EB10CD"/>
    <w:rsid w:val="00EB3DBE"/>
    <w:rsid w:val="00EB3EED"/>
    <w:rsid w:val="00EB5DBF"/>
    <w:rsid w:val="00EB6B0F"/>
    <w:rsid w:val="00EC7C9E"/>
    <w:rsid w:val="00ED3F30"/>
    <w:rsid w:val="00EE199B"/>
    <w:rsid w:val="00EE4B10"/>
    <w:rsid w:val="00EE53F9"/>
    <w:rsid w:val="00EF67A2"/>
    <w:rsid w:val="00F1173D"/>
    <w:rsid w:val="00F201D9"/>
    <w:rsid w:val="00F314F2"/>
    <w:rsid w:val="00F571EB"/>
    <w:rsid w:val="00F6106A"/>
    <w:rsid w:val="00F71379"/>
    <w:rsid w:val="00F71E73"/>
    <w:rsid w:val="00F74EA5"/>
    <w:rsid w:val="00F9115C"/>
    <w:rsid w:val="00FA3D70"/>
    <w:rsid w:val="00FA4B37"/>
    <w:rsid w:val="00FA7B73"/>
    <w:rsid w:val="00FC6910"/>
    <w:rsid w:val="00FD4FC5"/>
    <w:rsid w:val="00FD578E"/>
    <w:rsid w:val="00FE06B8"/>
    <w:rsid w:val="00FE2C26"/>
    <w:rsid w:val="00FE6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D2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6B3"/>
    <w:rPr>
      <w:rFonts w:ascii="Times New Roman" w:eastAsiaTheme="minorEastAsia" w:hAnsi="Times New Roman" w:cs="Times New Roman"/>
      <w:lang w:eastAsia="en-GB"/>
    </w:rPr>
  </w:style>
  <w:style w:type="paragraph" w:styleId="Ttulo1">
    <w:name w:val="heading 1"/>
    <w:basedOn w:val="Normal"/>
    <w:next w:val="Normal"/>
    <w:link w:val="Ttulo1Car"/>
    <w:autoRedefine/>
    <w:uiPriority w:val="9"/>
    <w:qFormat/>
    <w:rsid w:val="007236B3"/>
    <w:pPr>
      <w:keepNext/>
      <w:keepLines/>
      <w:spacing w:before="480" w:after="240"/>
      <w:outlineLvl w:val="0"/>
    </w:pPr>
    <w:rPr>
      <w:rFonts w:ascii="Garamond" w:eastAsiaTheme="majorEastAsia" w:hAnsi="Garamond" w:cstheme="majorBidi"/>
      <w:b/>
      <w:bCs/>
      <w:color w:val="2F5496" w:themeColor="accent1" w:themeShade="BF"/>
      <w:sz w:val="28"/>
      <w:szCs w:val="28"/>
    </w:rPr>
  </w:style>
  <w:style w:type="paragraph" w:styleId="Ttulo2">
    <w:name w:val="heading 2"/>
    <w:basedOn w:val="Normal"/>
    <w:next w:val="Normal"/>
    <w:link w:val="Ttulo2Car"/>
    <w:autoRedefine/>
    <w:uiPriority w:val="9"/>
    <w:unhideWhenUsed/>
    <w:qFormat/>
    <w:rsid w:val="007236B3"/>
    <w:pPr>
      <w:keepNext/>
      <w:keepLines/>
      <w:spacing w:before="320" w:after="120"/>
      <w:outlineLvl w:val="1"/>
    </w:pPr>
    <w:rPr>
      <w:rFonts w:ascii="Garamond" w:eastAsiaTheme="majorEastAsia" w:hAnsi="Garamond" w:cstheme="majorBidi"/>
      <w:b/>
      <w:bCs/>
      <w:color w:val="4472C4" w:themeColor="accent1"/>
      <w:sz w:val="26"/>
      <w:szCs w:val="26"/>
    </w:rPr>
  </w:style>
  <w:style w:type="paragraph" w:styleId="Ttulo3">
    <w:name w:val="heading 3"/>
    <w:basedOn w:val="Normal"/>
    <w:next w:val="Normal"/>
    <w:link w:val="Ttulo3Car"/>
    <w:autoRedefine/>
    <w:uiPriority w:val="9"/>
    <w:unhideWhenUsed/>
    <w:qFormat/>
    <w:rsid w:val="007236B3"/>
    <w:pPr>
      <w:keepNext/>
      <w:keepLines/>
      <w:spacing w:before="200" w:after="120"/>
      <w:outlineLvl w:val="2"/>
    </w:pPr>
    <w:rPr>
      <w:rFonts w:ascii="Garamond" w:eastAsiaTheme="majorEastAsia" w:hAnsi="Garamond" w:cstheme="majorBidi"/>
      <w:b/>
      <w:bCs/>
      <w:color w:val="4472C4" w:themeColor="accent1"/>
    </w:rPr>
  </w:style>
  <w:style w:type="paragraph" w:styleId="Ttulo4">
    <w:name w:val="heading 4"/>
    <w:basedOn w:val="Normal"/>
    <w:next w:val="Normal"/>
    <w:link w:val="Ttulo4Car"/>
    <w:autoRedefine/>
    <w:uiPriority w:val="9"/>
    <w:unhideWhenUsed/>
    <w:qFormat/>
    <w:rsid w:val="007236B3"/>
    <w:pPr>
      <w:keepNext/>
      <w:keepLines/>
      <w:spacing w:before="320" w:after="120"/>
      <w:outlineLvl w:val="3"/>
    </w:pPr>
    <w:rPr>
      <w:rFonts w:ascii="Garamond" w:eastAsiaTheme="majorEastAsia" w:hAnsi="Garamond" w:cstheme="majorBidi"/>
      <w:b/>
      <w:bCs/>
      <w:i/>
      <w:i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autoRedefine/>
    <w:qFormat/>
    <w:rsid w:val="00DE1465"/>
    <w:rPr>
      <w:sz w:val="15"/>
    </w:rPr>
  </w:style>
  <w:style w:type="character" w:customStyle="1" w:styleId="TextonotapieCar">
    <w:name w:val="Texto nota pie Car"/>
    <w:basedOn w:val="Fuentedeprrafopredeter"/>
    <w:link w:val="Textonotapie"/>
    <w:rsid w:val="00DE1465"/>
    <w:rPr>
      <w:sz w:val="15"/>
    </w:rPr>
  </w:style>
  <w:style w:type="paragraph" w:styleId="Descripcin">
    <w:name w:val="caption"/>
    <w:basedOn w:val="Normal"/>
    <w:next w:val="Normal"/>
    <w:autoRedefine/>
    <w:uiPriority w:val="35"/>
    <w:unhideWhenUsed/>
    <w:qFormat/>
    <w:rsid w:val="00661103"/>
    <w:pPr>
      <w:jc w:val="center"/>
    </w:pPr>
    <w:rPr>
      <w:b/>
      <w:iCs/>
      <w:color w:val="44546A" w:themeColor="text2"/>
      <w:szCs w:val="18"/>
    </w:rPr>
  </w:style>
  <w:style w:type="character" w:customStyle="1" w:styleId="Ttulo3Car">
    <w:name w:val="Título 3 Car"/>
    <w:basedOn w:val="Fuentedeprrafopredeter"/>
    <w:link w:val="Ttulo3"/>
    <w:uiPriority w:val="9"/>
    <w:rsid w:val="007236B3"/>
    <w:rPr>
      <w:rFonts w:ascii="Garamond" w:eastAsiaTheme="majorEastAsia" w:hAnsi="Garamond" w:cstheme="majorBidi"/>
      <w:b/>
      <w:bCs/>
      <w:color w:val="4472C4" w:themeColor="accent1"/>
      <w:lang w:eastAsia="en-GB"/>
    </w:rPr>
  </w:style>
  <w:style w:type="character" w:customStyle="1" w:styleId="Ttulo2Car">
    <w:name w:val="Título 2 Car"/>
    <w:basedOn w:val="Fuentedeprrafopredeter"/>
    <w:link w:val="Ttulo2"/>
    <w:uiPriority w:val="9"/>
    <w:rsid w:val="007236B3"/>
    <w:rPr>
      <w:rFonts w:ascii="Garamond" w:eastAsiaTheme="majorEastAsia" w:hAnsi="Garamond" w:cstheme="majorBidi"/>
      <w:b/>
      <w:bCs/>
      <w:color w:val="4472C4" w:themeColor="accent1"/>
      <w:sz w:val="26"/>
      <w:szCs w:val="26"/>
      <w:lang w:eastAsia="en-GB"/>
    </w:rPr>
  </w:style>
  <w:style w:type="paragraph" w:styleId="Lista">
    <w:name w:val="List"/>
    <w:basedOn w:val="Normal"/>
    <w:uiPriority w:val="99"/>
    <w:semiHidden/>
    <w:unhideWhenUsed/>
    <w:rsid w:val="00661103"/>
    <w:pPr>
      <w:ind w:left="360" w:hanging="360"/>
      <w:contextualSpacing/>
    </w:pPr>
  </w:style>
  <w:style w:type="paragraph" w:styleId="Listaconnmeros3">
    <w:name w:val="List Number 3"/>
    <w:basedOn w:val="Normal"/>
    <w:uiPriority w:val="99"/>
    <w:semiHidden/>
    <w:unhideWhenUsed/>
    <w:rsid w:val="00661103"/>
    <w:pPr>
      <w:numPr>
        <w:numId w:val="2"/>
      </w:numPr>
      <w:contextualSpacing/>
    </w:pPr>
  </w:style>
  <w:style w:type="character" w:customStyle="1" w:styleId="Ttulo1Car">
    <w:name w:val="Título 1 Car"/>
    <w:basedOn w:val="Fuentedeprrafopredeter"/>
    <w:link w:val="Ttulo1"/>
    <w:uiPriority w:val="9"/>
    <w:rsid w:val="007236B3"/>
    <w:rPr>
      <w:rFonts w:ascii="Garamond" w:eastAsiaTheme="majorEastAsia" w:hAnsi="Garamond" w:cstheme="majorBidi"/>
      <w:b/>
      <w:bCs/>
      <w:color w:val="2F5496" w:themeColor="accent1" w:themeShade="BF"/>
      <w:sz w:val="28"/>
      <w:szCs w:val="28"/>
      <w:lang w:eastAsia="en-GB"/>
    </w:rPr>
  </w:style>
  <w:style w:type="character" w:customStyle="1" w:styleId="Ttulo4Car">
    <w:name w:val="Título 4 Car"/>
    <w:basedOn w:val="Fuentedeprrafopredeter"/>
    <w:link w:val="Ttulo4"/>
    <w:uiPriority w:val="9"/>
    <w:rsid w:val="007236B3"/>
    <w:rPr>
      <w:rFonts w:ascii="Garamond" w:eastAsiaTheme="majorEastAsia" w:hAnsi="Garamond" w:cstheme="majorBidi"/>
      <w:b/>
      <w:bCs/>
      <w:i/>
      <w:iCs/>
      <w:color w:val="4472C4" w:themeColor="accent1"/>
      <w:lang w:eastAsia="en-GB"/>
    </w:rPr>
  </w:style>
  <w:style w:type="paragraph" w:styleId="Encabezado">
    <w:name w:val="header"/>
    <w:basedOn w:val="Normal"/>
    <w:link w:val="EncabezadoCar"/>
    <w:uiPriority w:val="99"/>
    <w:unhideWhenUsed/>
    <w:rsid w:val="0072035D"/>
    <w:pPr>
      <w:tabs>
        <w:tab w:val="center" w:pos="4513"/>
        <w:tab w:val="right" w:pos="9026"/>
      </w:tabs>
    </w:pPr>
  </w:style>
  <w:style w:type="character" w:customStyle="1" w:styleId="EncabezadoCar">
    <w:name w:val="Encabezado Car"/>
    <w:basedOn w:val="Fuentedeprrafopredeter"/>
    <w:link w:val="Encabezado"/>
    <w:uiPriority w:val="99"/>
    <w:rsid w:val="0072035D"/>
    <w:rPr>
      <w:rFonts w:ascii="Times New Roman" w:eastAsiaTheme="minorEastAsia" w:hAnsi="Times New Roman" w:cs="Times New Roman"/>
      <w:lang w:eastAsia="en-GB"/>
    </w:rPr>
  </w:style>
  <w:style w:type="paragraph" w:styleId="Piedepgina">
    <w:name w:val="footer"/>
    <w:basedOn w:val="Normal"/>
    <w:link w:val="PiedepginaCar"/>
    <w:uiPriority w:val="99"/>
    <w:unhideWhenUsed/>
    <w:rsid w:val="0072035D"/>
    <w:pPr>
      <w:tabs>
        <w:tab w:val="center" w:pos="4513"/>
        <w:tab w:val="right" w:pos="9026"/>
      </w:tabs>
    </w:pPr>
  </w:style>
  <w:style w:type="character" w:customStyle="1" w:styleId="PiedepginaCar">
    <w:name w:val="Pie de página Car"/>
    <w:basedOn w:val="Fuentedeprrafopredeter"/>
    <w:link w:val="Piedepgina"/>
    <w:uiPriority w:val="99"/>
    <w:rsid w:val="0072035D"/>
    <w:rPr>
      <w:rFonts w:ascii="Times New Roman" w:eastAsiaTheme="minorEastAsia" w:hAnsi="Times New Roman" w:cs="Times New Roman"/>
      <w:lang w:eastAsia="en-GB"/>
    </w:rPr>
  </w:style>
  <w:style w:type="paragraph" w:styleId="Prrafodelista">
    <w:name w:val="List Paragraph"/>
    <w:basedOn w:val="Normal"/>
    <w:uiPriority w:val="34"/>
    <w:qFormat/>
    <w:rsid w:val="00983ECA"/>
    <w:pPr>
      <w:ind w:left="720"/>
      <w:contextualSpacing/>
    </w:pPr>
  </w:style>
  <w:style w:type="table" w:styleId="Tablaconcuadrcula">
    <w:name w:val="Table Grid"/>
    <w:basedOn w:val="Tablanormal"/>
    <w:uiPriority w:val="39"/>
    <w:rsid w:val="004E6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unhideWhenUsed/>
    <w:rsid w:val="0063364E"/>
    <w:rPr>
      <w:vertAlign w:val="superscript"/>
    </w:rPr>
  </w:style>
  <w:style w:type="paragraph" w:styleId="Textodeglobo">
    <w:name w:val="Balloon Text"/>
    <w:basedOn w:val="Normal"/>
    <w:link w:val="TextodegloboCar"/>
    <w:uiPriority w:val="99"/>
    <w:semiHidden/>
    <w:unhideWhenUsed/>
    <w:rsid w:val="006336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364E"/>
    <w:rPr>
      <w:rFonts w:ascii="Segoe UI" w:eastAsiaTheme="minorEastAsia" w:hAnsi="Segoe UI" w:cs="Segoe UI"/>
      <w:sz w:val="18"/>
      <w:szCs w:val="18"/>
      <w:lang w:eastAsia="en-GB"/>
    </w:rPr>
  </w:style>
  <w:style w:type="character" w:styleId="Hipervnculo">
    <w:name w:val="Hyperlink"/>
    <w:basedOn w:val="Fuentedeprrafopredeter"/>
    <w:uiPriority w:val="99"/>
    <w:unhideWhenUsed/>
    <w:rsid w:val="0063364E"/>
    <w:rPr>
      <w:color w:val="0563C1" w:themeColor="hyperlink"/>
      <w:u w:val="single"/>
    </w:rPr>
  </w:style>
  <w:style w:type="character" w:customStyle="1" w:styleId="Mencinsinresolver1">
    <w:name w:val="Mención sin resolver1"/>
    <w:basedOn w:val="Fuentedeprrafopredeter"/>
    <w:uiPriority w:val="99"/>
    <w:rsid w:val="0063364E"/>
    <w:rPr>
      <w:color w:val="808080"/>
      <w:shd w:val="clear" w:color="auto" w:fill="E6E6E6"/>
    </w:rPr>
  </w:style>
  <w:style w:type="character" w:styleId="Refdecomentario">
    <w:name w:val="annotation reference"/>
    <w:basedOn w:val="Fuentedeprrafopredeter"/>
    <w:uiPriority w:val="99"/>
    <w:semiHidden/>
    <w:unhideWhenUsed/>
    <w:rsid w:val="00F1173D"/>
    <w:rPr>
      <w:sz w:val="18"/>
      <w:szCs w:val="18"/>
    </w:rPr>
  </w:style>
  <w:style w:type="paragraph" w:styleId="Textocomentario">
    <w:name w:val="annotation text"/>
    <w:basedOn w:val="Normal"/>
    <w:link w:val="TextocomentarioCar"/>
    <w:uiPriority w:val="99"/>
    <w:semiHidden/>
    <w:unhideWhenUsed/>
    <w:rsid w:val="00F1173D"/>
  </w:style>
  <w:style w:type="character" w:customStyle="1" w:styleId="TextocomentarioCar">
    <w:name w:val="Texto comentario Car"/>
    <w:basedOn w:val="Fuentedeprrafopredeter"/>
    <w:link w:val="Textocomentario"/>
    <w:uiPriority w:val="99"/>
    <w:semiHidden/>
    <w:rsid w:val="00F1173D"/>
    <w:rPr>
      <w:rFonts w:ascii="Times New Roman" w:eastAsiaTheme="minorEastAsia" w:hAnsi="Times New Roman" w:cs="Times New Roman"/>
      <w:lang w:eastAsia="en-GB"/>
    </w:rPr>
  </w:style>
  <w:style w:type="paragraph" w:styleId="Asuntodelcomentario">
    <w:name w:val="annotation subject"/>
    <w:basedOn w:val="Textocomentario"/>
    <w:next w:val="Textocomentario"/>
    <w:link w:val="AsuntodelcomentarioCar"/>
    <w:uiPriority w:val="99"/>
    <w:semiHidden/>
    <w:unhideWhenUsed/>
    <w:rsid w:val="00F1173D"/>
    <w:rPr>
      <w:b/>
      <w:bCs/>
      <w:sz w:val="20"/>
      <w:szCs w:val="20"/>
    </w:rPr>
  </w:style>
  <w:style w:type="character" w:customStyle="1" w:styleId="AsuntodelcomentarioCar">
    <w:name w:val="Asunto del comentario Car"/>
    <w:basedOn w:val="TextocomentarioCar"/>
    <w:link w:val="Asuntodelcomentario"/>
    <w:uiPriority w:val="99"/>
    <w:semiHidden/>
    <w:rsid w:val="00F1173D"/>
    <w:rPr>
      <w:rFonts w:ascii="Times New Roman" w:eastAsiaTheme="minorEastAsia" w:hAnsi="Times New Roman" w:cs="Times New Roman"/>
      <w:b/>
      <w:bCs/>
      <w:sz w:val="20"/>
      <w:szCs w:val="20"/>
      <w:lang w:eastAsia="en-GB"/>
    </w:rPr>
  </w:style>
  <w:style w:type="paragraph" w:styleId="Revisin">
    <w:name w:val="Revision"/>
    <w:hidden/>
    <w:uiPriority w:val="99"/>
    <w:semiHidden/>
    <w:rsid w:val="00CC3CD5"/>
    <w:rPr>
      <w:rFonts w:ascii="Times New Roman" w:eastAsiaTheme="minorEastAsia" w:hAnsi="Times New Roman" w:cs="Times New Roman"/>
      <w:lang w:eastAsia="en-GB"/>
    </w:rPr>
  </w:style>
  <w:style w:type="character" w:customStyle="1" w:styleId="Mencinsinresolver2">
    <w:name w:val="Mención sin resolver2"/>
    <w:basedOn w:val="Fuentedeprrafopredeter"/>
    <w:uiPriority w:val="99"/>
    <w:rsid w:val="00C433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7426">
      <w:bodyDiv w:val="1"/>
      <w:marLeft w:val="0"/>
      <w:marRight w:val="0"/>
      <w:marTop w:val="0"/>
      <w:marBottom w:val="0"/>
      <w:divBdr>
        <w:top w:val="none" w:sz="0" w:space="0" w:color="auto"/>
        <w:left w:val="none" w:sz="0" w:space="0" w:color="auto"/>
        <w:bottom w:val="none" w:sz="0" w:space="0" w:color="auto"/>
        <w:right w:val="none" w:sz="0" w:space="0" w:color="auto"/>
      </w:divBdr>
    </w:div>
    <w:div w:id="549221595">
      <w:bodyDiv w:val="1"/>
      <w:marLeft w:val="0"/>
      <w:marRight w:val="0"/>
      <w:marTop w:val="0"/>
      <w:marBottom w:val="0"/>
      <w:divBdr>
        <w:top w:val="none" w:sz="0" w:space="0" w:color="auto"/>
        <w:left w:val="none" w:sz="0" w:space="0" w:color="auto"/>
        <w:bottom w:val="none" w:sz="0" w:space="0" w:color="auto"/>
        <w:right w:val="none" w:sz="0" w:space="0" w:color="auto"/>
      </w:divBdr>
    </w:div>
    <w:div w:id="565728773">
      <w:bodyDiv w:val="1"/>
      <w:marLeft w:val="0"/>
      <w:marRight w:val="0"/>
      <w:marTop w:val="0"/>
      <w:marBottom w:val="0"/>
      <w:divBdr>
        <w:top w:val="none" w:sz="0" w:space="0" w:color="auto"/>
        <w:left w:val="none" w:sz="0" w:space="0" w:color="auto"/>
        <w:bottom w:val="none" w:sz="0" w:space="0" w:color="auto"/>
        <w:right w:val="none" w:sz="0" w:space="0" w:color="auto"/>
      </w:divBdr>
      <w:divsChild>
        <w:div w:id="1146510133">
          <w:marLeft w:val="0"/>
          <w:marRight w:val="0"/>
          <w:marTop w:val="0"/>
          <w:marBottom w:val="0"/>
          <w:divBdr>
            <w:top w:val="none" w:sz="0" w:space="0" w:color="auto"/>
            <w:left w:val="none" w:sz="0" w:space="0" w:color="auto"/>
            <w:bottom w:val="none" w:sz="0" w:space="0" w:color="auto"/>
            <w:right w:val="none" w:sz="0" w:space="0" w:color="auto"/>
          </w:divBdr>
          <w:divsChild>
            <w:div w:id="1618484735">
              <w:marLeft w:val="0"/>
              <w:marRight w:val="0"/>
              <w:marTop w:val="0"/>
              <w:marBottom w:val="0"/>
              <w:divBdr>
                <w:top w:val="none" w:sz="0" w:space="0" w:color="auto"/>
                <w:left w:val="none" w:sz="0" w:space="0" w:color="auto"/>
                <w:bottom w:val="none" w:sz="0" w:space="0" w:color="auto"/>
                <w:right w:val="none" w:sz="0" w:space="0" w:color="auto"/>
              </w:divBdr>
              <w:divsChild>
                <w:div w:id="18955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08290">
      <w:bodyDiv w:val="1"/>
      <w:marLeft w:val="0"/>
      <w:marRight w:val="0"/>
      <w:marTop w:val="0"/>
      <w:marBottom w:val="0"/>
      <w:divBdr>
        <w:top w:val="none" w:sz="0" w:space="0" w:color="auto"/>
        <w:left w:val="none" w:sz="0" w:space="0" w:color="auto"/>
        <w:bottom w:val="none" w:sz="0" w:space="0" w:color="auto"/>
        <w:right w:val="none" w:sz="0" w:space="0" w:color="auto"/>
      </w:divBdr>
    </w:div>
    <w:div w:id="811824933">
      <w:bodyDiv w:val="1"/>
      <w:marLeft w:val="0"/>
      <w:marRight w:val="0"/>
      <w:marTop w:val="0"/>
      <w:marBottom w:val="0"/>
      <w:divBdr>
        <w:top w:val="none" w:sz="0" w:space="0" w:color="auto"/>
        <w:left w:val="none" w:sz="0" w:space="0" w:color="auto"/>
        <w:bottom w:val="none" w:sz="0" w:space="0" w:color="auto"/>
        <w:right w:val="none" w:sz="0" w:space="0" w:color="auto"/>
      </w:divBdr>
    </w:div>
    <w:div w:id="860895358">
      <w:bodyDiv w:val="1"/>
      <w:marLeft w:val="0"/>
      <w:marRight w:val="0"/>
      <w:marTop w:val="0"/>
      <w:marBottom w:val="0"/>
      <w:divBdr>
        <w:top w:val="none" w:sz="0" w:space="0" w:color="auto"/>
        <w:left w:val="none" w:sz="0" w:space="0" w:color="auto"/>
        <w:bottom w:val="none" w:sz="0" w:space="0" w:color="auto"/>
        <w:right w:val="none" w:sz="0" w:space="0" w:color="auto"/>
      </w:divBdr>
    </w:div>
    <w:div w:id="1040134944">
      <w:bodyDiv w:val="1"/>
      <w:marLeft w:val="0"/>
      <w:marRight w:val="0"/>
      <w:marTop w:val="0"/>
      <w:marBottom w:val="0"/>
      <w:divBdr>
        <w:top w:val="none" w:sz="0" w:space="0" w:color="auto"/>
        <w:left w:val="none" w:sz="0" w:space="0" w:color="auto"/>
        <w:bottom w:val="none" w:sz="0" w:space="0" w:color="auto"/>
        <w:right w:val="none" w:sz="0" w:space="0" w:color="auto"/>
      </w:divBdr>
    </w:div>
    <w:div w:id="1862427987">
      <w:bodyDiv w:val="1"/>
      <w:marLeft w:val="0"/>
      <w:marRight w:val="0"/>
      <w:marTop w:val="0"/>
      <w:marBottom w:val="0"/>
      <w:divBdr>
        <w:top w:val="none" w:sz="0" w:space="0" w:color="auto"/>
        <w:left w:val="none" w:sz="0" w:space="0" w:color="auto"/>
        <w:bottom w:val="none" w:sz="0" w:space="0" w:color="auto"/>
        <w:right w:val="none" w:sz="0" w:space="0" w:color="auto"/>
      </w:divBdr>
    </w:div>
    <w:div w:id="1973169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hsprogram.co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B2604-0084-4ABC-9272-73CB129DAE3F}">
  <ds:schemaRefs>
    <ds:schemaRef ds:uri="http://schemas.openxmlformats.org/officeDocument/2006/bibliography"/>
  </ds:schemaRefs>
</ds:datastoreItem>
</file>

<file path=customXml/itemProps2.xml><?xml version="1.0" encoding="utf-8"?>
<ds:datastoreItem xmlns:ds="http://schemas.openxmlformats.org/officeDocument/2006/customXml" ds:itemID="{CEF86E6E-3329-4E26-B5F1-07D50959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2486</Words>
  <Characters>13678</Characters>
  <Application>Microsoft Office Word</Application>
  <DocSecurity>0</DocSecurity>
  <Lines>113</Lines>
  <Paragraphs>32</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Martinez</dc:creator>
  <cp:keywords/>
  <dc:description/>
  <cp:lastModifiedBy>Maynor Cabrera</cp:lastModifiedBy>
  <cp:revision>5</cp:revision>
  <dcterms:created xsi:type="dcterms:W3CDTF">2018-03-01T18:14:00Z</dcterms:created>
  <dcterms:modified xsi:type="dcterms:W3CDTF">2018-03-01T18:25:00Z</dcterms:modified>
</cp:coreProperties>
</file>