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410E" w:rsidRDefault="00137D8E" w:rsidP="00FC410E">
      <w:pPr>
        <w:jc w:val="center"/>
        <w:rPr>
          <w:rFonts w:ascii="Garamond" w:hAnsi="Garamond"/>
        </w:rPr>
      </w:pPr>
      <w:r w:rsidRPr="00612D79">
        <w:rPr>
          <w:rFonts w:ascii="Garamond" w:hAnsi="Garamond"/>
          <w:noProof/>
          <w:color w:val="000000" w:themeColor="text1"/>
          <w:lang w:val="es-GT" w:eastAsia="es-GT"/>
        </w:rPr>
        <w:drawing>
          <wp:anchor distT="0" distB="0" distL="114300" distR="114300" simplePos="0" relativeHeight="251658240" behindDoc="0" locked="0" layoutInCell="1" allowOverlap="1" wp14:anchorId="0706B709">
            <wp:simplePos x="0" y="0"/>
            <wp:positionH relativeFrom="column">
              <wp:posOffset>6485</wp:posOffset>
            </wp:positionH>
            <wp:positionV relativeFrom="paragraph">
              <wp:posOffset>58366</wp:posOffset>
            </wp:positionV>
            <wp:extent cx="1913304" cy="583660"/>
            <wp:effectExtent l="0" t="0" r="4445" b="635"/>
            <wp:wrapNone/>
            <wp:docPr id="2" name="Picture 2" descr="../../../../Desktop/__CEQ%20Institute%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__CEQ%20Institute%20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16716" cy="61520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C410E" w:rsidRDefault="00FC410E" w:rsidP="00FC410E">
      <w:pPr>
        <w:jc w:val="center"/>
        <w:rPr>
          <w:rFonts w:ascii="Garamond" w:hAnsi="Garamond"/>
        </w:rPr>
      </w:pPr>
    </w:p>
    <w:p w:rsidR="00137D8E" w:rsidRDefault="00137D8E" w:rsidP="00A50EDA">
      <w:pPr>
        <w:jc w:val="center"/>
        <w:rPr>
          <w:rFonts w:ascii="Garamond" w:eastAsia="MS Mincho" w:hAnsi="Garamond" w:cs="Times New Roman"/>
          <w:b/>
          <w:sz w:val="20"/>
          <w:szCs w:val="20"/>
          <w:lang w:eastAsia="en-GB"/>
        </w:rPr>
      </w:pPr>
    </w:p>
    <w:p w:rsidR="00137D8E" w:rsidRDefault="00137D8E" w:rsidP="00A50EDA">
      <w:pPr>
        <w:jc w:val="center"/>
        <w:rPr>
          <w:rFonts w:ascii="Garamond" w:eastAsia="MS Mincho" w:hAnsi="Garamond" w:cs="Times New Roman"/>
          <w:b/>
          <w:sz w:val="20"/>
          <w:szCs w:val="20"/>
          <w:lang w:eastAsia="en-GB"/>
        </w:rPr>
      </w:pPr>
    </w:p>
    <w:p w:rsidR="00A816C7" w:rsidRDefault="00A816C7" w:rsidP="00A50EDA">
      <w:pPr>
        <w:jc w:val="center"/>
        <w:rPr>
          <w:rFonts w:ascii="Garamond" w:eastAsia="MS Mincho" w:hAnsi="Garamond" w:cs="Times New Roman"/>
          <w:b/>
          <w:sz w:val="20"/>
          <w:szCs w:val="20"/>
          <w:lang w:eastAsia="en-GB"/>
        </w:rPr>
      </w:pPr>
    </w:p>
    <w:p w:rsidR="00A50EDA" w:rsidRPr="00A50EDA" w:rsidRDefault="00A50EDA" w:rsidP="00A50EDA">
      <w:pPr>
        <w:jc w:val="center"/>
        <w:rPr>
          <w:rFonts w:ascii="Garamond" w:eastAsia="MS Mincho" w:hAnsi="Garamond" w:cs="Times New Roman"/>
          <w:b/>
          <w:color w:val="000000"/>
          <w:sz w:val="20"/>
          <w:szCs w:val="20"/>
          <w:lang w:eastAsia="en-GB"/>
        </w:rPr>
      </w:pPr>
      <w:r w:rsidRPr="00A50EDA">
        <w:rPr>
          <w:rFonts w:ascii="Garamond" w:eastAsia="MS Mincho" w:hAnsi="Garamond" w:cs="Times New Roman"/>
          <w:b/>
          <w:sz w:val="20"/>
          <w:szCs w:val="20"/>
          <w:lang w:eastAsia="en-GB"/>
        </w:rPr>
        <w:t xml:space="preserve">Part IV- The Commitment to Equity Assessment Tools </w:t>
      </w:r>
    </w:p>
    <w:p w:rsidR="00137D8E" w:rsidRDefault="00137D8E" w:rsidP="00A50EDA">
      <w:pPr>
        <w:jc w:val="center"/>
        <w:rPr>
          <w:rFonts w:ascii="Garamond" w:eastAsia="MS Mincho" w:hAnsi="Garamond" w:cs="Times New Roman"/>
          <w:sz w:val="18"/>
          <w:szCs w:val="18"/>
          <w:lang w:val="en-US" w:eastAsia="en-GB"/>
        </w:rPr>
      </w:pPr>
    </w:p>
    <w:p w:rsidR="00A50EDA" w:rsidRPr="00137D8E" w:rsidRDefault="00137D8E" w:rsidP="00A50EDA">
      <w:pPr>
        <w:jc w:val="center"/>
        <w:rPr>
          <w:rStyle w:val="Hipervnculo"/>
          <w:rFonts w:ascii="Garamond" w:eastAsia="MS Mincho" w:hAnsi="Garamond" w:cs="Times New Roman"/>
          <w:sz w:val="18"/>
          <w:szCs w:val="18"/>
          <w:lang w:val="en-US" w:eastAsia="en-GB"/>
        </w:rPr>
      </w:pPr>
      <w:r>
        <w:rPr>
          <w:rFonts w:ascii="Garamond" w:eastAsia="MS Mincho" w:hAnsi="Garamond" w:cs="Times New Roman"/>
          <w:sz w:val="18"/>
          <w:szCs w:val="18"/>
          <w:lang w:val="en-US" w:eastAsia="en-GB"/>
        </w:rPr>
        <w:fldChar w:fldCharType="begin"/>
      </w:r>
      <w:r>
        <w:rPr>
          <w:rFonts w:ascii="Garamond" w:eastAsia="MS Mincho" w:hAnsi="Garamond" w:cs="Times New Roman"/>
          <w:sz w:val="18"/>
          <w:szCs w:val="18"/>
          <w:lang w:val="en-US" w:eastAsia="en-GB"/>
        </w:rPr>
        <w:instrText xml:space="preserve"> HYPERLINK "http://www.commitmentoequity.org/handbook/" </w:instrText>
      </w:r>
      <w:r>
        <w:rPr>
          <w:rFonts w:ascii="Garamond" w:eastAsia="MS Mincho" w:hAnsi="Garamond" w:cs="Times New Roman"/>
          <w:sz w:val="18"/>
          <w:szCs w:val="18"/>
          <w:lang w:val="en-US" w:eastAsia="en-GB"/>
        </w:rPr>
        <w:fldChar w:fldCharType="separate"/>
      </w:r>
      <w:r w:rsidR="00A50EDA" w:rsidRPr="00137D8E">
        <w:rPr>
          <w:rStyle w:val="Hipervnculo"/>
          <w:rFonts w:ascii="Garamond" w:eastAsia="MS Mincho" w:hAnsi="Garamond" w:cs="Times New Roman"/>
          <w:sz w:val="18"/>
          <w:szCs w:val="18"/>
          <w:lang w:val="en-US" w:eastAsia="en-GB"/>
        </w:rPr>
        <w:t>Commitment to Equity Handbook</w:t>
      </w:r>
    </w:p>
    <w:p w:rsidR="00A50EDA" w:rsidRPr="00137D8E" w:rsidRDefault="00A50EDA" w:rsidP="00A50EDA">
      <w:pPr>
        <w:jc w:val="center"/>
        <w:rPr>
          <w:rStyle w:val="Hipervnculo"/>
          <w:rFonts w:ascii="Garamond" w:eastAsia="MS Mincho" w:hAnsi="Garamond" w:cs="Times New Roman"/>
          <w:sz w:val="18"/>
          <w:szCs w:val="18"/>
          <w:lang w:val="en-US" w:eastAsia="en-GB"/>
        </w:rPr>
      </w:pPr>
      <w:r w:rsidRPr="00137D8E">
        <w:rPr>
          <w:rStyle w:val="Hipervnculo"/>
          <w:rFonts w:ascii="Garamond" w:eastAsia="MS Mincho" w:hAnsi="Garamond" w:cs="Times New Roman"/>
          <w:sz w:val="18"/>
          <w:szCs w:val="18"/>
          <w:lang w:val="en-US" w:eastAsia="en-GB"/>
        </w:rPr>
        <w:t>Estimating the Impact of Fiscal Policy on Inequality and Poverty</w:t>
      </w:r>
    </w:p>
    <w:p w:rsidR="00A50EDA" w:rsidRPr="00137D8E" w:rsidRDefault="00A50EDA" w:rsidP="00A50EDA">
      <w:pPr>
        <w:jc w:val="center"/>
        <w:rPr>
          <w:rStyle w:val="Hipervnculo"/>
          <w:rFonts w:ascii="Garamond" w:eastAsia="MS Mincho" w:hAnsi="Garamond" w:cs="Times New Roman"/>
          <w:sz w:val="18"/>
          <w:szCs w:val="18"/>
          <w:lang w:val="en-US" w:eastAsia="en-GB"/>
        </w:rPr>
      </w:pPr>
      <w:r w:rsidRPr="00137D8E">
        <w:rPr>
          <w:rStyle w:val="Hipervnculo"/>
          <w:rFonts w:ascii="Garamond" w:eastAsia="MS Mincho" w:hAnsi="Garamond" w:cs="Times New Roman"/>
          <w:sz w:val="18"/>
          <w:szCs w:val="18"/>
          <w:lang w:val="en-US" w:eastAsia="en-GB"/>
        </w:rPr>
        <w:t>Brookings Institution and CEQ Institute</w:t>
      </w:r>
    </w:p>
    <w:p w:rsidR="00A50EDA" w:rsidRPr="00A50EDA" w:rsidRDefault="00A50EDA" w:rsidP="00A50EDA">
      <w:pPr>
        <w:jc w:val="center"/>
        <w:rPr>
          <w:rFonts w:ascii="Garamond" w:eastAsia="MS Mincho" w:hAnsi="Garamond" w:cs="Times New Roman"/>
          <w:sz w:val="18"/>
          <w:szCs w:val="18"/>
          <w:lang w:val="en-US" w:eastAsia="en-GB"/>
        </w:rPr>
      </w:pPr>
      <w:r w:rsidRPr="00137D8E">
        <w:rPr>
          <w:rStyle w:val="Hipervnculo"/>
          <w:rFonts w:ascii="Garamond" w:eastAsia="MS Mincho" w:hAnsi="Garamond" w:cs="Times New Roman"/>
          <w:sz w:val="18"/>
          <w:szCs w:val="18"/>
          <w:lang w:val="en-US" w:eastAsia="en-GB"/>
        </w:rPr>
        <w:t>Nora Lustig (editor)</w:t>
      </w:r>
      <w:r w:rsidR="00137D8E">
        <w:rPr>
          <w:rFonts w:ascii="Garamond" w:eastAsia="MS Mincho" w:hAnsi="Garamond" w:cs="Times New Roman"/>
          <w:sz w:val="18"/>
          <w:szCs w:val="18"/>
          <w:lang w:val="en-US" w:eastAsia="en-GB"/>
        </w:rPr>
        <w:fldChar w:fldCharType="end"/>
      </w:r>
    </w:p>
    <w:p w:rsidR="00A50EDA" w:rsidRPr="00A50EDA" w:rsidRDefault="00A50EDA" w:rsidP="00A50EDA">
      <w:pPr>
        <w:jc w:val="center"/>
        <w:rPr>
          <w:rFonts w:ascii="Garamond" w:eastAsia="MS Mincho" w:hAnsi="Garamond" w:cs="Times New Roman"/>
          <w:sz w:val="18"/>
          <w:szCs w:val="18"/>
          <w:lang w:val="en-US" w:eastAsia="en-GB"/>
        </w:rPr>
      </w:pPr>
    </w:p>
    <w:p w:rsidR="00A50EDA" w:rsidRPr="00A50EDA" w:rsidRDefault="00FB151E" w:rsidP="00A50EDA">
      <w:pPr>
        <w:jc w:val="center"/>
        <w:rPr>
          <w:rFonts w:ascii="Garamond" w:eastAsia="MS Mincho" w:hAnsi="Garamond" w:cs="Times New Roman"/>
          <w:sz w:val="18"/>
          <w:szCs w:val="18"/>
          <w:lang w:val="en-US" w:eastAsia="en-GB"/>
        </w:rPr>
      </w:pPr>
      <w:r>
        <w:rPr>
          <w:rFonts w:ascii="Garamond" w:eastAsia="MS Mincho" w:hAnsi="Garamond" w:cs="Times New Roman"/>
          <w:sz w:val="18"/>
          <w:szCs w:val="18"/>
          <w:lang w:val="en-US" w:eastAsia="en-GB"/>
        </w:rPr>
        <w:t>March 1</w:t>
      </w:r>
      <w:r w:rsidR="00A50EDA" w:rsidRPr="00A50EDA">
        <w:rPr>
          <w:rFonts w:ascii="Garamond" w:eastAsia="MS Mincho" w:hAnsi="Garamond" w:cs="Times New Roman"/>
          <w:sz w:val="18"/>
          <w:szCs w:val="18"/>
          <w:lang w:val="en-US" w:eastAsia="en-GB"/>
        </w:rPr>
        <w:t>, 2018</w:t>
      </w:r>
    </w:p>
    <w:p w:rsidR="00FC410E" w:rsidRPr="00FC410E" w:rsidRDefault="00FC410E">
      <w:pPr>
        <w:rPr>
          <w:rFonts w:ascii="Garamond" w:hAnsi="Garamond"/>
        </w:rPr>
      </w:pPr>
    </w:p>
    <w:p w:rsidR="00FC410E" w:rsidRPr="00EE29DD" w:rsidRDefault="00FC410E" w:rsidP="00A50EDA">
      <w:pPr>
        <w:jc w:val="center"/>
        <w:rPr>
          <w:rFonts w:ascii="Garamond" w:hAnsi="Garamond"/>
          <w:b/>
        </w:rPr>
      </w:pPr>
      <w:r w:rsidRPr="00EE29DD">
        <w:rPr>
          <w:rFonts w:ascii="Garamond" w:hAnsi="Garamond"/>
          <w:b/>
        </w:rPr>
        <w:t xml:space="preserve">CEQ Stata Package </w:t>
      </w:r>
    </w:p>
    <w:p w:rsidR="00FC410E" w:rsidRPr="00EE29DD" w:rsidRDefault="00FC410E" w:rsidP="00A50EDA">
      <w:pPr>
        <w:jc w:val="center"/>
        <w:rPr>
          <w:rFonts w:ascii="Garamond" w:hAnsi="Garamond"/>
          <w:b/>
          <w:sz w:val="20"/>
          <w:szCs w:val="20"/>
        </w:rPr>
      </w:pPr>
      <w:r w:rsidRPr="00EE29DD">
        <w:rPr>
          <w:rFonts w:ascii="Garamond" w:hAnsi="Garamond"/>
          <w:b/>
          <w:sz w:val="20"/>
          <w:szCs w:val="20"/>
        </w:rPr>
        <w:t>Sean Higgins</w:t>
      </w:r>
      <w:r w:rsidR="00FB151E">
        <w:rPr>
          <w:rFonts w:ascii="Garamond" w:hAnsi="Garamond"/>
          <w:b/>
          <w:sz w:val="20"/>
          <w:szCs w:val="20"/>
        </w:rPr>
        <w:t>,</w:t>
      </w:r>
      <w:r w:rsidRPr="00EE29DD">
        <w:rPr>
          <w:rFonts w:ascii="Garamond" w:hAnsi="Garamond"/>
          <w:b/>
          <w:sz w:val="20"/>
          <w:szCs w:val="20"/>
        </w:rPr>
        <w:t xml:space="preserve"> Rodrigo </w:t>
      </w:r>
      <w:proofErr w:type="gramStart"/>
      <w:r w:rsidRPr="00EE29DD">
        <w:rPr>
          <w:rFonts w:ascii="Garamond" w:hAnsi="Garamond"/>
          <w:b/>
          <w:sz w:val="20"/>
          <w:szCs w:val="20"/>
        </w:rPr>
        <w:t>Aranda</w:t>
      </w:r>
      <w:proofErr w:type="gramEnd"/>
      <w:r w:rsidRPr="00EE29DD">
        <w:rPr>
          <w:rFonts w:ascii="Garamond" w:hAnsi="Garamond"/>
          <w:b/>
          <w:sz w:val="20"/>
          <w:szCs w:val="20"/>
        </w:rPr>
        <w:t xml:space="preserve"> </w:t>
      </w:r>
      <w:r w:rsidR="00FB151E">
        <w:rPr>
          <w:rFonts w:ascii="Garamond" w:hAnsi="Garamond"/>
          <w:b/>
          <w:sz w:val="20"/>
          <w:szCs w:val="20"/>
        </w:rPr>
        <w:t xml:space="preserve">and </w:t>
      </w:r>
      <w:proofErr w:type="spellStart"/>
      <w:r w:rsidR="00FB151E">
        <w:rPr>
          <w:rFonts w:ascii="Garamond" w:hAnsi="Garamond"/>
          <w:b/>
          <w:sz w:val="20"/>
          <w:szCs w:val="20"/>
        </w:rPr>
        <w:t>Rouxi</w:t>
      </w:r>
      <w:proofErr w:type="spellEnd"/>
      <w:r w:rsidR="00FB151E">
        <w:rPr>
          <w:rFonts w:ascii="Garamond" w:hAnsi="Garamond"/>
          <w:b/>
          <w:sz w:val="20"/>
          <w:szCs w:val="20"/>
        </w:rPr>
        <w:t xml:space="preserve"> Li</w:t>
      </w:r>
    </w:p>
    <w:p w:rsidR="00FC410E" w:rsidRPr="00FC410E" w:rsidRDefault="00FC410E">
      <w:pPr>
        <w:rPr>
          <w:rFonts w:ascii="Garamond" w:hAnsi="Garamond"/>
        </w:rPr>
      </w:pPr>
    </w:p>
    <w:p w:rsidR="00FC410E" w:rsidRPr="00FC410E" w:rsidRDefault="00FC410E">
      <w:pPr>
        <w:rPr>
          <w:rFonts w:ascii="Garamond" w:hAnsi="Garamond"/>
        </w:rPr>
      </w:pPr>
    </w:p>
    <w:p w:rsidR="00FC410E" w:rsidRPr="00FC410E" w:rsidRDefault="00FC410E">
      <w:pPr>
        <w:rPr>
          <w:rFonts w:ascii="Garamond" w:hAnsi="Garamond"/>
        </w:rPr>
      </w:pPr>
    </w:p>
    <w:p w:rsidR="00003D19" w:rsidRPr="00FC410E" w:rsidRDefault="00FC410E" w:rsidP="00FB151E">
      <w:pPr>
        <w:jc w:val="both"/>
        <w:rPr>
          <w:rFonts w:ascii="Garamond" w:hAnsi="Garamond"/>
        </w:rPr>
      </w:pPr>
      <w:r w:rsidRPr="00FC410E">
        <w:rPr>
          <w:rFonts w:ascii="Garamond" w:hAnsi="Garamond"/>
        </w:rPr>
        <w:t xml:space="preserve">NOTE: A detailed description of the CEQ Stata Package can be found in Chapters </w:t>
      </w:r>
      <w:r w:rsidR="008A3DF1">
        <w:rPr>
          <w:rFonts w:ascii="Garamond" w:hAnsi="Garamond"/>
        </w:rPr>
        <w:t>8</w:t>
      </w:r>
      <w:r w:rsidRPr="00FC410E">
        <w:rPr>
          <w:rFonts w:ascii="Garamond" w:hAnsi="Garamond"/>
        </w:rPr>
        <w:t xml:space="preserve"> (Sean Higgins) and </w:t>
      </w:r>
      <w:r w:rsidR="008A3DF1">
        <w:rPr>
          <w:rFonts w:ascii="Garamond" w:hAnsi="Garamond"/>
        </w:rPr>
        <w:t>9</w:t>
      </w:r>
      <w:r w:rsidRPr="00FC410E">
        <w:rPr>
          <w:rFonts w:ascii="Garamond" w:hAnsi="Garamond"/>
        </w:rPr>
        <w:t xml:space="preserve"> (Rodrigo Aranda and Adam </w:t>
      </w:r>
      <w:proofErr w:type="spellStart"/>
      <w:r w:rsidRPr="00FC410E">
        <w:rPr>
          <w:rFonts w:ascii="Garamond" w:hAnsi="Garamond"/>
        </w:rPr>
        <w:t>Ratzlaff</w:t>
      </w:r>
      <w:proofErr w:type="spellEnd"/>
      <w:r w:rsidRPr="00FC410E">
        <w:rPr>
          <w:rFonts w:ascii="Garamond" w:hAnsi="Garamond"/>
        </w:rPr>
        <w:t xml:space="preserve">, if CEQ analysis is also done by ethnicity and race) of the CEQ Handbook. The CEQ Stata package computes the results of a CEQ Assessment and transfers them to the CEQ Master Workbook (MWB). To automatically transfer the results to the MWB, Stata 13 or a newer version is required. To automatically transfer graphs for certain sheets of Section E, Stata 14.1 is required (but the graphs can be manually pasted into the MWB otherwise). For questions, please contact Sean Higgins at: </w:t>
      </w:r>
      <w:hyperlink r:id="rId6" w:history="1">
        <w:r w:rsidRPr="00FC410E">
          <w:rPr>
            <w:rStyle w:val="Hipervnculo"/>
            <w:rFonts w:ascii="Garamond" w:hAnsi="Garamond"/>
          </w:rPr>
          <w:t>sean.higgins@ceqinstitute.org</w:t>
        </w:r>
      </w:hyperlink>
    </w:p>
    <w:p w:rsidR="00FC410E" w:rsidRPr="00FC410E" w:rsidRDefault="00FC410E">
      <w:pPr>
        <w:rPr>
          <w:rFonts w:ascii="Garamond" w:hAnsi="Garamond"/>
        </w:rPr>
      </w:pPr>
    </w:p>
    <w:tbl>
      <w:tblPr>
        <w:tblW w:w="5000" w:type="pct"/>
        <w:tblBorders>
          <w:top w:val="nil"/>
          <w:left w:val="nil"/>
          <w:right w:val="nil"/>
        </w:tblBorders>
        <w:tblLook w:val="0000" w:firstRow="0" w:lastRow="0" w:firstColumn="0" w:lastColumn="0" w:noHBand="0" w:noVBand="0"/>
      </w:tblPr>
      <w:tblGrid>
        <w:gridCol w:w="9010"/>
      </w:tblGrid>
      <w:tr w:rsidR="00FC410E" w:rsidRPr="00FC410E" w:rsidTr="00FC410E">
        <w:tc>
          <w:tcPr>
            <w:tcW w:w="5000" w:type="pct"/>
            <w:tcBorders>
              <w:top w:val="single" w:sz="4" w:space="0" w:color="000000"/>
              <w:left w:val="single" w:sz="4" w:space="0" w:color="000000"/>
              <w:bottom w:val="single" w:sz="4" w:space="0" w:color="000000"/>
              <w:right w:val="single" w:sz="4" w:space="0" w:color="000000"/>
            </w:tcBorders>
            <w:shd w:val="clear" w:color="auto" w:fill="FFFF0B"/>
            <w:tcMar>
              <w:top w:w="20" w:type="nil"/>
              <w:left w:w="20" w:type="nil"/>
              <w:bottom w:w="20" w:type="nil"/>
              <w:right w:w="20" w:type="nil"/>
            </w:tcMar>
            <w:vAlign w:val="center"/>
          </w:tcPr>
          <w:p w:rsidR="00FC410E" w:rsidRPr="00FC410E" w:rsidRDefault="00FC410E" w:rsidP="00FC410E">
            <w:pPr>
              <w:autoSpaceDE w:val="0"/>
              <w:autoSpaceDN w:val="0"/>
              <w:adjustRightInd w:val="0"/>
              <w:spacing w:after="240"/>
              <w:rPr>
                <w:rFonts w:ascii="Garamond" w:hAnsi="Garamond" w:cs="Times"/>
                <w:color w:val="000000"/>
              </w:rPr>
            </w:pPr>
            <w:r w:rsidRPr="00FC410E">
              <w:rPr>
                <w:rFonts w:ascii="Garamond" w:hAnsi="Garamond" w:cs="Garamond"/>
                <w:b/>
                <w:bCs/>
                <w:color w:val="000000"/>
              </w:rPr>
              <w:t>To install the CEQ Stata Package, include the follow</w:t>
            </w:r>
            <w:r>
              <w:rPr>
                <w:rFonts w:ascii="Garamond" w:hAnsi="Garamond" w:cs="Garamond"/>
                <w:b/>
                <w:bCs/>
                <w:color w:val="000000"/>
              </w:rPr>
              <w:t xml:space="preserve">ing Stata code in a .do file or </w:t>
            </w:r>
            <w:r w:rsidRPr="00FC410E">
              <w:rPr>
                <w:rFonts w:ascii="Garamond" w:hAnsi="Garamond" w:cs="Garamond"/>
                <w:b/>
                <w:bCs/>
                <w:color w:val="000000"/>
              </w:rPr>
              <w:t xml:space="preserve">enter it into Stata’s command prompt: </w:t>
            </w:r>
          </w:p>
          <w:p w:rsidR="00FC410E" w:rsidRDefault="00FC410E" w:rsidP="00FC410E">
            <w:pPr>
              <w:autoSpaceDE w:val="0"/>
              <w:autoSpaceDN w:val="0"/>
              <w:adjustRightInd w:val="0"/>
              <w:spacing w:after="120"/>
              <w:rPr>
                <w:rFonts w:ascii="Garamond" w:hAnsi="Garamond" w:cs="Times"/>
                <w:b/>
                <w:bCs/>
                <w:color w:val="000000"/>
              </w:rPr>
            </w:pPr>
            <w:r w:rsidRPr="00FC410E">
              <w:rPr>
                <w:rFonts w:ascii="Garamond" w:hAnsi="Garamond" w:cs="Times"/>
                <w:b/>
                <w:bCs/>
                <w:color w:val="000000"/>
              </w:rPr>
              <w:t xml:space="preserve">update all </w:t>
            </w:r>
          </w:p>
          <w:p w:rsidR="00FC410E" w:rsidRPr="00FC410E" w:rsidRDefault="00FC410E" w:rsidP="00FC410E">
            <w:pPr>
              <w:autoSpaceDE w:val="0"/>
              <w:autoSpaceDN w:val="0"/>
              <w:adjustRightInd w:val="0"/>
              <w:spacing w:after="120"/>
              <w:rPr>
                <w:rFonts w:ascii="Garamond" w:hAnsi="Garamond" w:cs="Times"/>
                <w:b/>
                <w:bCs/>
                <w:color w:val="000000"/>
              </w:rPr>
            </w:pPr>
            <w:proofErr w:type="spellStart"/>
            <w:r w:rsidRPr="00FC410E">
              <w:rPr>
                <w:rFonts w:ascii="Garamond" w:hAnsi="Garamond" w:cs="Times"/>
                <w:b/>
                <w:bCs/>
                <w:color w:val="000000"/>
              </w:rPr>
              <w:t>ssc</w:t>
            </w:r>
            <w:proofErr w:type="spellEnd"/>
            <w:r w:rsidRPr="00FC410E">
              <w:rPr>
                <w:rFonts w:ascii="Garamond" w:hAnsi="Garamond" w:cs="Times"/>
                <w:b/>
                <w:bCs/>
                <w:color w:val="000000"/>
              </w:rPr>
              <w:t xml:space="preserve"> install </w:t>
            </w:r>
            <w:proofErr w:type="spellStart"/>
            <w:r w:rsidRPr="00FC410E">
              <w:rPr>
                <w:rFonts w:ascii="Garamond" w:hAnsi="Garamond" w:cs="Times"/>
                <w:b/>
                <w:bCs/>
                <w:color w:val="000000"/>
              </w:rPr>
              <w:t>ceq</w:t>
            </w:r>
            <w:proofErr w:type="spellEnd"/>
            <w:r w:rsidRPr="00FC410E">
              <w:rPr>
                <w:rFonts w:ascii="Garamond" w:hAnsi="Garamond" w:cs="Times"/>
                <w:b/>
                <w:bCs/>
                <w:color w:val="000000"/>
              </w:rPr>
              <w:t>, replace</w:t>
            </w:r>
          </w:p>
        </w:tc>
      </w:tr>
    </w:tbl>
    <w:p w:rsidR="00FC410E" w:rsidRDefault="00FC410E">
      <w:pPr>
        <w:rPr>
          <w:rFonts w:ascii="Garamond" w:hAnsi="Garamond"/>
        </w:rPr>
      </w:pPr>
    </w:p>
    <w:p w:rsidR="00AF5A26" w:rsidRDefault="00AF5A26">
      <w:pPr>
        <w:rPr>
          <w:rFonts w:ascii="Garamond" w:hAnsi="Garamond"/>
        </w:rPr>
      </w:pPr>
    </w:p>
    <w:p w:rsidR="00AF5A26" w:rsidRPr="00AF5A26" w:rsidRDefault="00AF5A26" w:rsidP="00AF5A26">
      <w:pPr>
        <w:autoSpaceDE w:val="0"/>
        <w:autoSpaceDN w:val="0"/>
        <w:adjustRightInd w:val="0"/>
        <w:spacing w:after="240" w:line="360" w:lineRule="atLeast"/>
        <w:rPr>
          <w:rFonts w:ascii="Times" w:hAnsi="Times" w:cs="Times"/>
          <w:color w:val="000000"/>
        </w:rPr>
      </w:pPr>
      <w:r w:rsidRPr="00AF5A26">
        <w:rPr>
          <w:rFonts w:ascii="Garamond" w:hAnsi="Garamond" w:cs="Garamond"/>
          <w:color w:val="000000"/>
        </w:rPr>
        <w:t xml:space="preserve">After installing, type </w:t>
      </w:r>
      <w:r w:rsidRPr="00AF5A26">
        <w:rPr>
          <w:rFonts w:ascii="Courier New" w:hAnsi="Courier New" w:cs="Courier New"/>
          <w:color w:val="000000"/>
        </w:rPr>
        <w:t xml:space="preserve">help </w:t>
      </w:r>
      <w:proofErr w:type="spellStart"/>
      <w:r w:rsidRPr="00AF5A26">
        <w:rPr>
          <w:rFonts w:ascii="Courier New" w:hAnsi="Courier New" w:cs="Courier New"/>
          <w:color w:val="000000"/>
        </w:rPr>
        <w:t>ceq</w:t>
      </w:r>
      <w:proofErr w:type="spellEnd"/>
      <w:r w:rsidRPr="00AF5A26">
        <w:rPr>
          <w:rFonts w:ascii="Courier New" w:hAnsi="Courier New" w:cs="Courier New"/>
          <w:color w:val="000000"/>
        </w:rPr>
        <w:t xml:space="preserve"> </w:t>
      </w:r>
      <w:r w:rsidRPr="00AF5A26">
        <w:rPr>
          <w:rFonts w:ascii="Garamond" w:hAnsi="Garamond" w:cs="Garamond"/>
          <w:color w:val="000000"/>
        </w:rPr>
        <w:t xml:space="preserve">to view a list of the commands and a short description of each. </w:t>
      </w:r>
    </w:p>
    <w:p w:rsidR="00AF5A26" w:rsidRPr="00FC410E" w:rsidRDefault="00AF5A26">
      <w:pPr>
        <w:rPr>
          <w:rFonts w:ascii="Garamond" w:hAnsi="Garamond"/>
        </w:rPr>
      </w:pPr>
      <w:bookmarkStart w:id="0" w:name="_GoBack"/>
      <w:bookmarkEnd w:id="0"/>
    </w:p>
    <w:sectPr w:rsidR="00AF5A26" w:rsidRPr="00FC410E" w:rsidSect="0057277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10E"/>
    <w:rsid w:val="00137D8E"/>
    <w:rsid w:val="0057277A"/>
    <w:rsid w:val="008A3DF1"/>
    <w:rsid w:val="009917EC"/>
    <w:rsid w:val="00A50EDA"/>
    <w:rsid w:val="00A816C7"/>
    <w:rsid w:val="00AF5A26"/>
    <w:rsid w:val="00DB1051"/>
    <w:rsid w:val="00EE29DD"/>
    <w:rsid w:val="00FB151E"/>
    <w:rsid w:val="00FC41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FCDFC"/>
  <w14:defaultImageDpi w14:val="32767"/>
  <w15:chartTrackingRefBased/>
  <w15:docId w15:val="{078E96D8-2E69-3543-BA55-695CC52F6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C410E"/>
    <w:rPr>
      <w:color w:val="0563C1" w:themeColor="hyperlink"/>
      <w:u w:val="single"/>
    </w:rPr>
  </w:style>
  <w:style w:type="character" w:styleId="Mencinsinresolver">
    <w:name w:val="Unresolved Mention"/>
    <w:basedOn w:val="Fuentedeprrafopredeter"/>
    <w:uiPriority w:val="99"/>
    <w:rsid w:val="00FC410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sean.higgins@ceqinstitute.or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519B7-B8DC-456D-AF58-D2F906E0B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202</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Martinez</dc:creator>
  <cp:keywords/>
  <dc:description/>
  <cp:lastModifiedBy>Maynor Cabrera</cp:lastModifiedBy>
  <cp:revision>7</cp:revision>
  <dcterms:created xsi:type="dcterms:W3CDTF">2018-02-19T17:04:00Z</dcterms:created>
  <dcterms:modified xsi:type="dcterms:W3CDTF">2018-03-01T18:21:00Z</dcterms:modified>
</cp:coreProperties>
</file>