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8AD" w:rsidRDefault="00D218AD" w:rsidP="00046A2B">
      <w:pPr>
        <w:jc w:val="center"/>
        <w:rPr>
          <w:rFonts w:ascii="Garamond" w:eastAsia="MS Mincho" w:hAnsi="Garamond" w:cs="Times New Roman"/>
          <w:b/>
          <w:sz w:val="20"/>
          <w:szCs w:val="20"/>
          <w:lang w:eastAsia="en-GB"/>
        </w:rPr>
      </w:pPr>
      <w:r w:rsidRPr="00D170D8">
        <w:rPr>
          <w:rFonts w:ascii="Garamond" w:hAnsi="Garamond"/>
          <w:noProof/>
          <w:lang w:val="en-US"/>
        </w:rPr>
        <w:drawing>
          <wp:anchor distT="0" distB="0" distL="114300" distR="114300" simplePos="0" relativeHeight="251658240" behindDoc="1" locked="0" layoutInCell="1" allowOverlap="1" wp14:anchorId="17BE7200">
            <wp:simplePos x="0" y="0"/>
            <wp:positionH relativeFrom="column">
              <wp:posOffset>-71890</wp:posOffset>
            </wp:positionH>
            <wp:positionV relativeFrom="paragraph">
              <wp:posOffset>51880</wp:posOffset>
            </wp:positionV>
            <wp:extent cx="2337435" cy="699770"/>
            <wp:effectExtent l="0" t="0" r="0" b="0"/>
            <wp:wrapTight wrapText="bothSides">
              <wp:wrapPolygon edited="0">
                <wp:start x="0" y="0"/>
                <wp:lineTo x="0" y="21169"/>
                <wp:lineTo x="21477" y="21169"/>
                <wp:lineTo x="21477" y="0"/>
                <wp:lineTo x="0" y="0"/>
              </wp:wrapPolygon>
            </wp:wrapTight>
            <wp:docPr id="4" name="Picture 4" descr="../../../CEQ%20Institute%20Logo%20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Q%20Institute%20Logo%20Englis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435" cy="69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18AD" w:rsidRDefault="00D218AD" w:rsidP="00046A2B">
      <w:pPr>
        <w:jc w:val="center"/>
        <w:rPr>
          <w:rFonts w:ascii="Garamond" w:eastAsia="MS Mincho" w:hAnsi="Garamond" w:cs="Times New Roman"/>
          <w:b/>
          <w:sz w:val="20"/>
          <w:szCs w:val="20"/>
          <w:lang w:eastAsia="en-GB"/>
        </w:rPr>
      </w:pPr>
    </w:p>
    <w:p w:rsidR="00D218AD" w:rsidRDefault="00D218AD" w:rsidP="00046A2B">
      <w:pPr>
        <w:jc w:val="center"/>
        <w:rPr>
          <w:rFonts w:ascii="Garamond" w:eastAsia="MS Mincho" w:hAnsi="Garamond" w:cs="Times New Roman"/>
          <w:b/>
          <w:sz w:val="20"/>
          <w:szCs w:val="20"/>
          <w:lang w:eastAsia="en-GB"/>
        </w:rPr>
      </w:pPr>
    </w:p>
    <w:p w:rsidR="00D218AD" w:rsidRDefault="00D218AD" w:rsidP="00046A2B">
      <w:pPr>
        <w:jc w:val="center"/>
        <w:rPr>
          <w:rFonts w:ascii="Garamond" w:eastAsia="MS Mincho" w:hAnsi="Garamond" w:cs="Times New Roman"/>
          <w:b/>
          <w:sz w:val="20"/>
          <w:szCs w:val="20"/>
          <w:lang w:eastAsia="en-GB"/>
        </w:rPr>
      </w:pPr>
    </w:p>
    <w:p w:rsidR="00D218AD" w:rsidRDefault="00D218AD" w:rsidP="00046A2B">
      <w:pPr>
        <w:jc w:val="center"/>
        <w:rPr>
          <w:rFonts w:ascii="Garamond" w:eastAsia="MS Mincho" w:hAnsi="Garamond" w:cs="Times New Roman"/>
          <w:b/>
          <w:sz w:val="20"/>
          <w:szCs w:val="20"/>
          <w:lang w:eastAsia="en-GB"/>
        </w:rPr>
      </w:pPr>
    </w:p>
    <w:p w:rsidR="00D218AD" w:rsidRDefault="00D218AD" w:rsidP="00046A2B">
      <w:pPr>
        <w:jc w:val="center"/>
        <w:rPr>
          <w:rFonts w:ascii="Garamond" w:eastAsia="MS Mincho" w:hAnsi="Garamond" w:cs="Times New Roman"/>
          <w:b/>
          <w:sz w:val="20"/>
          <w:szCs w:val="20"/>
          <w:lang w:eastAsia="en-GB"/>
        </w:rPr>
      </w:pPr>
    </w:p>
    <w:p w:rsidR="00046A2B" w:rsidRPr="00046A2B" w:rsidRDefault="00046A2B" w:rsidP="00046A2B">
      <w:pPr>
        <w:jc w:val="center"/>
        <w:rPr>
          <w:rFonts w:ascii="Garamond" w:eastAsia="MS Mincho" w:hAnsi="Garamond" w:cs="Times New Roman"/>
          <w:b/>
          <w:color w:val="000000"/>
          <w:sz w:val="20"/>
          <w:szCs w:val="20"/>
          <w:lang w:eastAsia="en-GB"/>
        </w:rPr>
      </w:pPr>
      <w:r w:rsidRPr="00046A2B">
        <w:rPr>
          <w:rFonts w:ascii="Garamond" w:eastAsia="MS Mincho" w:hAnsi="Garamond" w:cs="Times New Roman"/>
          <w:b/>
          <w:sz w:val="20"/>
          <w:szCs w:val="20"/>
          <w:lang w:eastAsia="en-GB"/>
        </w:rPr>
        <w:t xml:space="preserve">Part IV- The Commitment to Equity Assessment Tools </w:t>
      </w:r>
    </w:p>
    <w:p w:rsidR="00046A2B" w:rsidRPr="005A0B83" w:rsidRDefault="005A0B83" w:rsidP="00046A2B">
      <w:pPr>
        <w:jc w:val="center"/>
        <w:rPr>
          <w:rStyle w:val="Hipervnculo"/>
          <w:rFonts w:ascii="Garamond" w:eastAsia="MS Mincho" w:hAnsi="Garamond" w:cs="Times New Roman"/>
          <w:sz w:val="18"/>
          <w:szCs w:val="18"/>
          <w:lang w:val="en-US" w:eastAsia="en-GB"/>
        </w:rPr>
      </w:pPr>
      <w:r>
        <w:rPr>
          <w:rFonts w:ascii="Garamond" w:eastAsia="MS Mincho" w:hAnsi="Garamond" w:cs="Times New Roman"/>
          <w:sz w:val="18"/>
          <w:szCs w:val="18"/>
          <w:lang w:val="en-US" w:eastAsia="en-GB"/>
        </w:rPr>
        <w:fldChar w:fldCharType="begin"/>
      </w:r>
      <w:r>
        <w:rPr>
          <w:rFonts w:ascii="Garamond" w:eastAsia="MS Mincho" w:hAnsi="Garamond" w:cs="Times New Roman"/>
          <w:sz w:val="18"/>
          <w:szCs w:val="18"/>
          <w:lang w:val="en-US" w:eastAsia="en-GB"/>
        </w:rPr>
        <w:instrText xml:space="preserve"> HYPERLINK "http://www.commitmentoequity.org/handbook/" </w:instrText>
      </w:r>
      <w:r>
        <w:rPr>
          <w:rFonts w:ascii="Garamond" w:eastAsia="MS Mincho" w:hAnsi="Garamond" w:cs="Times New Roman"/>
          <w:sz w:val="18"/>
          <w:szCs w:val="18"/>
          <w:lang w:val="en-US" w:eastAsia="en-GB"/>
        </w:rPr>
        <w:fldChar w:fldCharType="separate"/>
      </w:r>
      <w:r w:rsidR="00046A2B" w:rsidRPr="005A0B83">
        <w:rPr>
          <w:rStyle w:val="Hipervnculo"/>
          <w:rFonts w:ascii="Garamond" w:eastAsia="MS Mincho" w:hAnsi="Garamond" w:cs="Times New Roman"/>
          <w:sz w:val="18"/>
          <w:szCs w:val="18"/>
          <w:lang w:val="en-US" w:eastAsia="en-GB"/>
        </w:rPr>
        <w:t>Commitment to Equity Handbook</w:t>
      </w:r>
    </w:p>
    <w:p w:rsidR="00046A2B" w:rsidRPr="005A0B83" w:rsidRDefault="00046A2B" w:rsidP="00046A2B">
      <w:pPr>
        <w:jc w:val="center"/>
        <w:rPr>
          <w:rStyle w:val="Hipervnculo"/>
          <w:rFonts w:ascii="Garamond" w:eastAsia="MS Mincho" w:hAnsi="Garamond" w:cs="Times New Roman"/>
          <w:sz w:val="18"/>
          <w:szCs w:val="18"/>
          <w:lang w:val="en-US" w:eastAsia="en-GB"/>
        </w:rPr>
      </w:pPr>
      <w:r w:rsidRPr="005A0B83">
        <w:rPr>
          <w:rStyle w:val="Hipervnculo"/>
          <w:rFonts w:ascii="Garamond" w:eastAsia="MS Mincho" w:hAnsi="Garamond" w:cs="Times New Roman"/>
          <w:sz w:val="18"/>
          <w:szCs w:val="18"/>
          <w:lang w:val="en-US" w:eastAsia="en-GB"/>
        </w:rPr>
        <w:t>Estimating the Impact of Fiscal Policy on Inequality and Poverty</w:t>
      </w:r>
    </w:p>
    <w:p w:rsidR="00046A2B" w:rsidRPr="005A0B83" w:rsidRDefault="00046A2B" w:rsidP="00046A2B">
      <w:pPr>
        <w:jc w:val="center"/>
        <w:rPr>
          <w:rStyle w:val="Hipervnculo"/>
          <w:rFonts w:ascii="Garamond" w:eastAsia="MS Mincho" w:hAnsi="Garamond" w:cs="Times New Roman"/>
          <w:sz w:val="18"/>
          <w:szCs w:val="18"/>
          <w:lang w:val="en-US" w:eastAsia="en-GB"/>
        </w:rPr>
      </w:pPr>
      <w:r w:rsidRPr="005A0B83">
        <w:rPr>
          <w:rStyle w:val="Hipervnculo"/>
          <w:rFonts w:ascii="Garamond" w:eastAsia="MS Mincho" w:hAnsi="Garamond" w:cs="Times New Roman"/>
          <w:sz w:val="18"/>
          <w:szCs w:val="18"/>
          <w:lang w:val="en-US" w:eastAsia="en-GB"/>
        </w:rPr>
        <w:t>Brookings Institution and CEQ Institute</w:t>
      </w:r>
    </w:p>
    <w:p w:rsidR="00046A2B" w:rsidRPr="00046A2B" w:rsidRDefault="00046A2B" w:rsidP="00046A2B">
      <w:pPr>
        <w:jc w:val="center"/>
        <w:rPr>
          <w:rFonts w:ascii="Garamond" w:eastAsia="MS Mincho" w:hAnsi="Garamond" w:cs="Times New Roman"/>
          <w:sz w:val="18"/>
          <w:szCs w:val="18"/>
          <w:lang w:val="en-US" w:eastAsia="en-GB"/>
        </w:rPr>
      </w:pPr>
      <w:r w:rsidRPr="005A0B83">
        <w:rPr>
          <w:rStyle w:val="Hipervnculo"/>
          <w:rFonts w:ascii="Garamond" w:eastAsia="MS Mincho" w:hAnsi="Garamond" w:cs="Times New Roman"/>
          <w:sz w:val="18"/>
          <w:szCs w:val="18"/>
          <w:lang w:val="en-US" w:eastAsia="en-GB"/>
        </w:rPr>
        <w:t>Nora Lustig (editor)</w:t>
      </w:r>
      <w:r w:rsidR="005A0B83">
        <w:rPr>
          <w:rFonts w:ascii="Garamond" w:eastAsia="MS Mincho" w:hAnsi="Garamond" w:cs="Times New Roman"/>
          <w:sz w:val="18"/>
          <w:szCs w:val="18"/>
          <w:lang w:val="en-US" w:eastAsia="en-GB"/>
        </w:rPr>
        <w:fldChar w:fldCharType="end"/>
      </w:r>
    </w:p>
    <w:p w:rsidR="00046A2B" w:rsidRPr="00046A2B" w:rsidRDefault="00046A2B" w:rsidP="00046A2B">
      <w:pPr>
        <w:jc w:val="center"/>
        <w:rPr>
          <w:rFonts w:ascii="Garamond" w:eastAsia="MS Mincho" w:hAnsi="Garamond" w:cs="Times New Roman"/>
          <w:sz w:val="18"/>
          <w:szCs w:val="18"/>
          <w:lang w:val="en-US" w:eastAsia="en-GB"/>
        </w:rPr>
      </w:pPr>
    </w:p>
    <w:p w:rsidR="00046A2B" w:rsidRPr="00046A2B" w:rsidRDefault="00D3336C" w:rsidP="00046A2B">
      <w:pPr>
        <w:jc w:val="center"/>
        <w:rPr>
          <w:rFonts w:ascii="Garamond" w:eastAsia="MS Mincho" w:hAnsi="Garamond" w:cs="Times New Roman"/>
          <w:sz w:val="18"/>
          <w:szCs w:val="18"/>
          <w:lang w:val="en-US" w:eastAsia="en-GB"/>
        </w:rPr>
      </w:pPr>
      <w:r>
        <w:rPr>
          <w:rFonts w:ascii="Garamond" w:eastAsia="MS Mincho" w:hAnsi="Garamond" w:cs="Times New Roman"/>
          <w:sz w:val="18"/>
          <w:szCs w:val="18"/>
          <w:lang w:val="en-US" w:eastAsia="en-GB"/>
        </w:rPr>
        <w:t>March 1</w:t>
      </w:r>
      <w:bookmarkStart w:id="0" w:name="_GoBack"/>
      <w:bookmarkEnd w:id="0"/>
      <w:r w:rsidR="00046A2B" w:rsidRPr="00046A2B">
        <w:rPr>
          <w:rFonts w:ascii="Garamond" w:eastAsia="MS Mincho" w:hAnsi="Garamond" w:cs="Times New Roman"/>
          <w:sz w:val="18"/>
          <w:szCs w:val="18"/>
          <w:lang w:val="en-US" w:eastAsia="en-GB"/>
        </w:rPr>
        <w:t>, 2018</w:t>
      </w:r>
    </w:p>
    <w:p w:rsidR="00046A2B" w:rsidRDefault="00046A2B" w:rsidP="00046A2B">
      <w:pPr>
        <w:rPr>
          <w:rFonts w:ascii="Garamond" w:hAnsi="Garamond"/>
        </w:rPr>
      </w:pPr>
    </w:p>
    <w:p w:rsidR="00046A2B" w:rsidRPr="00046A2B" w:rsidRDefault="00046A2B" w:rsidP="00046A2B">
      <w:pPr>
        <w:jc w:val="center"/>
        <w:rPr>
          <w:rFonts w:ascii="Garamond" w:hAnsi="Garamond"/>
          <w:b/>
        </w:rPr>
      </w:pPr>
      <w:r w:rsidRPr="00046A2B">
        <w:rPr>
          <w:rFonts w:ascii="Garamond" w:hAnsi="Garamond"/>
          <w:b/>
        </w:rPr>
        <w:t>Sample Stata Code for Measuring the Indirect Effects of Indirect Taxes and Subsidies</w:t>
      </w:r>
    </w:p>
    <w:p w:rsidR="00046A2B" w:rsidRPr="00046A2B" w:rsidRDefault="00046A2B" w:rsidP="00046A2B">
      <w:pPr>
        <w:jc w:val="center"/>
        <w:rPr>
          <w:rFonts w:ascii="Garamond" w:hAnsi="Garamond"/>
          <w:b/>
        </w:rPr>
      </w:pPr>
      <w:r w:rsidRPr="00046A2B">
        <w:rPr>
          <w:rFonts w:ascii="Garamond" w:hAnsi="Garamond"/>
          <w:b/>
        </w:rPr>
        <w:t>Jon Jellema</w:t>
      </w:r>
    </w:p>
    <w:p w:rsidR="00046A2B" w:rsidRDefault="00046A2B" w:rsidP="00046A2B">
      <w:pPr>
        <w:rPr>
          <w:rFonts w:ascii="Garamond" w:hAnsi="Garamond"/>
        </w:rPr>
      </w:pPr>
    </w:p>
    <w:p w:rsidR="00D218AD" w:rsidRDefault="00D218AD" w:rsidP="00046A2B">
      <w:pPr>
        <w:rPr>
          <w:rFonts w:ascii="Garamond" w:hAnsi="Garamond"/>
        </w:rPr>
      </w:pPr>
    </w:p>
    <w:p w:rsidR="00D218AD" w:rsidRDefault="00D218AD" w:rsidP="00046A2B">
      <w:pPr>
        <w:rPr>
          <w:rFonts w:ascii="Garamond" w:hAnsi="Garamond"/>
        </w:rPr>
      </w:pPr>
    </w:p>
    <w:p w:rsidR="00046A2B" w:rsidRDefault="00046A2B" w:rsidP="00046A2B">
      <w:pPr>
        <w:rPr>
          <w:rFonts w:ascii="Garamond" w:hAnsi="Garamond"/>
        </w:rPr>
      </w:pPr>
      <w:r w:rsidRPr="00046A2B">
        <w:rPr>
          <w:rFonts w:ascii="Garamond" w:hAnsi="Garamond"/>
        </w:rPr>
        <w:t xml:space="preserve">The Stata code in the accompanying Stata file (“IOexample.do”) provides a real-world example of the calculation of the indirect effects of indirect taxes or subsidies following the method outlined in Chapter </w:t>
      </w:r>
      <w:r w:rsidR="00271BC9">
        <w:rPr>
          <w:rFonts w:ascii="Garamond" w:hAnsi="Garamond"/>
        </w:rPr>
        <w:t>7</w:t>
      </w:r>
      <w:r w:rsidRPr="00046A2B">
        <w:rPr>
          <w:rFonts w:ascii="Garamond" w:hAnsi="Garamond"/>
        </w:rPr>
        <w:t xml:space="preserve"> of the Handbook. The source code was kindly shared with the CEQ Institute by its authors, Roland Kpodar, David Coady, and Stefania Fabrizio from the International Monetary Fund; the source code is available to the public at </w:t>
      </w:r>
      <w:hyperlink r:id="rId8" w:history="1">
        <w:r w:rsidRPr="00015382">
          <w:rPr>
            <w:rStyle w:val="Hipervnculo"/>
            <w:rFonts w:ascii="Garamond" w:hAnsi="Garamond"/>
          </w:rPr>
          <w:t>http://www.imf.org/external/np/fad/subsidies/index.htm</w:t>
        </w:r>
      </w:hyperlink>
      <w:r w:rsidRPr="00046A2B">
        <w:rPr>
          <w:rFonts w:ascii="Garamond" w:hAnsi="Garamond"/>
        </w:rPr>
        <w:t>.</w:t>
      </w:r>
    </w:p>
    <w:p w:rsidR="00046A2B" w:rsidRPr="00046A2B" w:rsidRDefault="00046A2B" w:rsidP="00046A2B">
      <w:pPr>
        <w:rPr>
          <w:rFonts w:ascii="Garamond" w:hAnsi="Garamond"/>
        </w:rPr>
      </w:pPr>
    </w:p>
    <w:p w:rsidR="00003D19" w:rsidRDefault="00046A2B" w:rsidP="00046A2B">
      <w:pPr>
        <w:rPr>
          <w:rFonts w:ascii="Garamond" w:hAnsi="Garamond"/>
        </w:rPr>
      </w:pPr>
      <w:r w:rsidRPr="00046A2B">
        <w:rPr>
          <w:rFonts w:ascii="Garamond" w:hAnsi="Garamond"/>
        </w:rPr>
        <w:t xml:space="preserve">The code here takes the analyst from Step 3 through Step 7 (relabeled here Step A through Step D) of the methodology described in Chapter </w:t>
      </w:r>
      <w:r w:rsidR="00271BC9">
        <w:rPr>
          <w:rFonts w:ascii="Garamond" w:hAnsi="Garamond"/>
        </w:rPr>
        <w:t>7</w:t>
      </w:r>
      <w:r w:rsidRPr="00046A2B">
        <w:rPr>
          <w:rFonts w:ascii="Garamond" w:hAnsi="Garamond"/>
        </w:rPr>
        <w:t xml:space="preserve"> of the Handbook. A sample Input-Output (IO) matrix (with 81 productive sectors) is included </w:t>
      </w:r>
      <w:r w:rsidR="00271BC9">
        <w:rPr>
          <w:rFonts w:ascii="Garamond" w:hAnsi="Garamond"/>
        </w:rPr>
        <w:t>in Part IV</w:t>
      </w:r>
      <w:r w:rsidRPr="00046A2B">
        <w:rPr>
          <w:rFonts w:ascii="Garamond" w:hAnsi="Garamond"/>
        </w:rPr>
        <w:t>; it is the same matrix that the code calls on (at line 23) so the reader can generate the same set of results or analyze the effect of, for example, increasing the magnitude of the shock(s) to producer prices or revising the set of fixed-price sectors.</w:t>
      </w: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Default="009A1F29" w:rsidP="00046A2B">
      <w:pPr>
        <w:rPr>
          <w:rFonts w:ascii="Garamond" w:hAnsi="Garamond"/>
        </w:rPr>
      </w:pPr>
    </w:p>
    <w:p w:rsidR="009A1F29" w:rsidRPr="00046A2B" w:rsidRDefault="009A1F29" w:rsidP="00046A2B">
      <w:pPr>
        <w:rPr>
          <w:rFonts w:ascii="Garamond" w:hAnsi="Garamond"/>
        </w:rPr>
      </w:pPr>
    </w:p>
    <w:sectPr w:rsidR="009A1F29" w:rsidRPr="00046A2B" w:rsidSect="0057277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358" w:rsidRDefault="003E2358" w:rsidP="003541DF">
      <w:r>
        <w:separator/>
      </w:r>
    </w:p>
  </w:endnote>
  <w:endnote w:type="continuationSeparator" w:id="0">
    <w:p w:rsidR="003E2358" w:rsidRDefault="003E2358" w:rsidP="0035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358" w:rsidRDefault="003E2358" w:rsidP="003541DF">
      <w:r>
        <w:separator/>
      </w:r>
    </w:p>
  </w:footnote>
  <w:footnote w:type="continuationSeparator" w:id="0">
    <w:p w:rsidR="003E2358" w:rsidRDefault="003E2358" w:rsidP="00354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2B"/>
    <w:rsid w:val="00046A2B"/>
    <w:rsid w:val="00223864"/>
    <w:rsid w:val="00271BC9"/>
    <w:rsid w:val="003541DF"/>
    <w:rsid w:val="003E2358"/>
    <w:rsid w:val="0057277A"/>
    <w:rsid w:val="005A0B83"/>
    <w:rsid w:val="005C5DD7"/>
    <w:rsid w:val="009A1F29"/>
    <w:rsid w:val="00AA5ECC"/>
    <w:rsid w:val="00D218AD"/>
    <w:rsid w:val="00D3336C"/>
    <w:rsid w:val="00D87776"/>
    <w:rsid w:val="00DB1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55FD"/>
  <w14:defaultImageDpi w14:val="32767"/>
  <w15:chartTrackingRefBased/>
  <w15:docId w15:val="{2056E060-DF19-9648-B588-9823CC8E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6A2B"/>
    <w:rPr>
      <w:color w:val="0563C1" w:themeColor="hyperlink"/>
      <w:u w:val="single"/>
    </w:rPr>
  </w:style>
  <w:style w:type="character" w:styleId="Mencinsinresolver">
    <w:name w:val="Unresolved Mention"/>
    <w:basedOn w:val="Fuentedeprrafopredeter"/>
    <w:uiPriority w:val="99"/>
    <w:rsid w:val="00046A2B"/>
    <w:rPr>
      <w:color w:val="808080"/>
      <w:shd w:val="clear" w:color="auto" w:fill="E6E6E6"/>
    </w:rPr>
  </w:style>
  <w:style w:type="paragraph" w:styleId="Textonotapie">
    <w:name w:val="footnote text"/>
    <w:basedOn w:val="Normal"/>
    <w:link w:val="TextonotapieCar"/>
    <w:uiPriority w:val="99"/>
    <w:semiHidden/>
    <w:unhideWhenUsed/>
    <w:rsid w:val="003541DF"/>
    <w:rPr>
      <w:sz w:val="20"/>
      <w:szCs w:val="20"/>
    </w:rPr>
  </w:style>
  <w:style w:type="character" w:customStyle="1" w:styleId="TextonotapieCar">
    <w:name w:val="Texto nota pie Car"/>
    <w:basedOn w:val="Fuentedeprrafopredeter"/>
    <w:link w:val="Textonotapie"/>
    <w:uiPriority w:val="99"/>
    <w:semiHidden/>
    <w:rsid w:val="003541DF"/>
    <w:rPr>
      <w:sz w:val="20"/>
      <w:szCs w:val="20"/>
    </w:rPr>
  </w:style>
  <w:style w:type="character" w:styleId="Refdenotaalpie">
    <w:name w:val="footnote reference"/>
    <w:basedOn w:val="Fuentedeprrafopredeter"/>
    <w:uiPriority w:val="99"/>
    <w:semiHidden/>
    <w:unhideWhenUsed/>
    <w:rsid w:val="003541DF"/>
    <w:rPr>
      <w:vertAlign w:val="superscript"/>
    </w:rPr>
  </w:style>
  <w:style w:type="paragraph" w:styleId="Encabezado">
    <w:name w:val="header"/>
    <w:basedOn w:val="Normal"/>
    <w:link w:val="EncabezadoCar"/>
    <w:uiPriority w:val="99"/>
    <w:unhideWhenUsed/>
    <w:rsid w:val="003541DF"/>
    <w:pPr>
      <w:tabs>
        <w:tab w:val="center" w:pos="4513"/>
        <w:tab w:val="right" w:pos="9026"/>
      </w:tabs>
    </w:pPr>
  </w:style>
  <w:style w:type="character" w:customStyle="1" w:styleId="EncabezadoCar">
    <w:name w:val="Encabezado Car"/>
    <w:basedOn w:val="Fuentedeprrafopredeter"/>
    <w:link w:val="Encabezado"/>
    <w:uiPriority w:val="99"/>
    <w:rsid w:val="003541DF"/>
  </w:style>
  <w:style w:type="paragraph" w:styleId="Piedepgina">
    <w:name w:val="footer"/>
    <w:basedOn w:val="Normal"/>
    <w:link w:val="PiedepginaCar"/>
    <w:uiPriority w:val="99"/>
    <w:unhideWhenUsed/>
    <w:rsid w:val="003541DF"/>
    <w:pPr>
      <w:tabs>
        <w:tab w:val="center" w:pos="4513"/>
        <w:tab w:val="right" w:pos="9026"/>
      </w:tabs>
    </w:pPr>
  </w:style>
  <w:style w:type="character" w:customStyle="1" w:styleId="PiedepginaCar">
    <w:name w:val="Pie de página Car"/>
    <w:basedOn w:val="Fuentedeprrafopredeter"/>
    <w:link w:val="Piedepgina"/>
    <w:uiPriority w:val="99"/>
    <w:rsid w:val="003541DF"/>
  </w:style>
  <w:style w:type="paragraph" w:styleId="Textonotaalfinal">
    <w:name w:val="endnote text"/>
    <w:basedOn w:val="Normal"/>
    <w:link w:val="TextonotaalfinalCar"/>
    <w:uiPriority w:val="99"/>
    <w:semiHidden/>
    <w:unhideWhenUsed/>
    <w:rsid w:val="00D87776"/>
    <w:rPr>
      <w:sz w:val="20"/>
      <w:szCs w:val="20"/>
    </w:rPr>
  </w:style>
  <w:style w:type="character" w:customStyle="1" w:styleId="TextonotaalfinalCar">
    <w:name w:val="Texto nota al final Car"/>
    <w:basedOn w:val="Fuentedeprrafopredeter"/>
    <w:link w:val="Textonotaalfinal"/>
    <w:uiPriority w:val="99"/>
    <w:semiHidden/>
    <w:rsid w:val="00D87776"/>
    <w:rPr>
      <w:sz w:val="20"/>
      <w:szCs w:val="20"/>
    </w:rPr>
  </w:style>
  <w:style w:type="character" w:styleId="Refdenotaalfinal">
    <w:name w:val="endnote reference"/>
    <w:basedOn w:val="Fuentedeprrafopredeter"/>
    <w:uiPriority w:val="99"/>
    <w:semiHidden/>
    <w:unhideWhenUsed/>
    <w:rsid w:val="00D877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f.org/external/np/fad/subsidies/index.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7F77-C5A0-4990-86C9-9ED1A408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Martinez</dc:creator>
  <cp:keywords/>
  <dc:description/>
  <cp:lastModifiedBy>Maynor Cabrera</cp:lastModifiedBy>
  <cp:revision>7</cp:revision>
  <dcterms:created xsi:type="dcterms:W3CDTF">2018-02-19T17:37:00Z</dcterms:created>
  <dcterms:modified xsi:type="dcterms:W3CDTF">2018-03-01T18:24:00Z</dcterms:modified>
</cp:coreProperties>
</file>