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left"/>
      </w:pPr>
      <w:r>
        <w:rPr>
          <w:rFonts w:ascii="PingFang SC" w:hAnsi="PingFang SC" w:eastAsia="PingFang SC"/>
          <w:b/>
          <w:color w:val="000000"/>
          <w:sz w:val="60"/>
        </w:rPr>
        <w:t>Campus Commons</w:t>
      </w:r>
    </w:p>
    <w:p>
      <w:pPr>
        <w:pStyle w:val="Subtitle"/>
        <w:widowControl/>
      </w:pPr>
      <w:r>
        <w:rPr>
          <w:rFonts w:ascii="PingFang SC" w:hAnsi="PingFang SC" w:eastAsia="PingFang SC"/>
          <w:b/>
          <w:color w:val="126B51"/>
          <w:sz w:val="32"/>
        </w:rPr>
        <w:t>跨组织共享资源与公平分配平台</w:t>
      </w:r>
    </w:p>
    <w:p>
      <w:pPr>
        <w:widowControl/>
        <w:spacing w:after="360" w:line="300" w:lineRule="auto"/>
      </w:pPr>
      <w:r>
        <w:rPr>
          <w:rFonts w:ascii="PingFang SC" w:hAnsi="PingFang SC" w:eastAsia="PingFang SC"/>
          <w:color w:val="6F7E79"/>
          <w:sz w:val="24"/>
        </w:rPr>
        <w:t>项目流程、系统细节、创新点与演示素材说明</w:t>
      </w:r>
    </w:p>
    <w:p>
      <w:pPr>
        <w:widowControl/>
        <w:spacing w:before="80" w:after="200" w:line="324" w:lineRule="auto"/>
        <w:jc w:val="center"/>
      </w:pPr>
      <w:r>
        <w:rPr>
          <w:rFonts w:ascii="PingFang SC" w:hAnsi="PingFang SC" w:eastAsia="PingFang SC"/>
          <w:b/>
          <w:color w:val="126B51"/>
          <w:sz w:val="21"/>
        </w:rPr>
        <w:t>组织开放资源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Mission 提出需求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生成完整方案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批次公平分配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使用与反馈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历史记录沉淀</w:t>
      </w:r>
    </w:p>
    <w:p>
      <w:pPr>
        <w:widowControl/>
        <w:spacing w:after="300" w:line="300" w:lineRule="auto"/>
      </w:pPr>
      <w:r>
        <w:rPr>
          <w:rFonts w:ascii="PingFang SC" w:hAnsi="PingFang SC" w:eastAsia="PingFang SC"/>
          <w:color w:val="16312B"/>
          <w:sz w:val="23"/>
        </w:rPr>
        <w:t>这份文档用于帮助团队制作比赛 PPT、海报、现场演示讲稿和评委答辩材料。它同时解释当前 MVP 已实现的能力、业务规则、数据边界和下一阶段工程化方向。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项目定位</w:t>
            </w:r>
          </w:p>
        </w:tc>
        <w:tc>
          <w:tcPr>
            <w:tcW w:type="dxa" w:w="5112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当前交付</w:t>
            </w:r>
          </w:p>
        </w:tc>
        <w:tc>
          <w:tcPr>
            <w:tcW w:type="dxa" w:w="302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演示入口</w:t>
            </w:r>
          </w:p>
        </w:tc>
      </w:tr>
      <w:tr>
        <w:tc>
          <w:tcPr>
            <w:tcW w:type="dxa" w:w="158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解决的问题</w:t>
            </w:r>
          </w:p>
        </w:tc>
        <w:tc>
          <w:tcPr>
            <w:tcW w:type="dxa" w:w="51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让校园内分散、闲置的设备、场地、技能和时间变成可发现、可组合、可追溯的共享 capacity。</w:t>
            </w:r>
          </w:p>
        </w:tc>
        <w:tc>
          <w:tcPr>
            <w:tcW w:type="dxa" w:w="302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用户端：原网站入口；管理端：同一站点的管理控制台。</w:t>
            </w:r>
          </w:p>
        </w:tc>
      </w:tr>
      <w:tr>
        <w:tc>
          <w:tcPr>
            <w:tcW w:type="dxa" w:w="158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核心机制</w:t>
            </w:r>
          </w:p>
        </w:tc>
        <w:tc>
          <w:tcPr>
            <w:tcW w:type="dxa" w:w="51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Mission + 完整 Mission Plans + 截止批次 + Fairness + 冲突处理。</w:t>
            </w:r>
          </w:p>
        </w:tc>
        <w:tc>
          <w:tcPr>
            <w:tcW w:type="dxa" w:w="302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本地地址：http://127.0.0.1:8765/</w:t>
            </w:r>
          </w:p>
        </w:tc>
      </w:tr>
      <w:tr>
        <w:tc>
          <w:tcPr>
            <w:tcW w:type="dxa" w:w="158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技术状态</w:t>
            </w:r>
          </w:p>
        </w:tc>
        <w:tc>
          <w:tcPr>
            <w:tcW w:type="dxa" w:w="51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依赖 Python 标准库的本地全栈 MVP，SQLite 保存演示数据与历史。</w:t>
            </w:r>
          </w:p>
        </w:tc>
        <w:tc>
          <w:tcPr>
            <w:tcW w:type="dxa" w:w="302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管理员可以在管理端运行分配和隔离 Demo。</w:t>
            </w:r>
          </w:p>
        </w:tc>
      </w:tr>
    </w:tbl>
    <w:p>
      <w:pPr>
        <w:widowControl/>
        <w:spacing w:after="20"/>
      </w:pPr>
    </w:p>
    <w:p>
      <w:pPr>
        <w:widowControl/>
        <w:spacing w:after="0" w:line="300" w:lineRule="auto"/>
      </w:pPr>
      <w:r>
        <w:rPr>
          <w:rFonts w:ascii="PingFang SC" w:hAnsi="PingFang SC" w:eastAsia="PingFang SC"/>
          <w:color w:val="6F7E79"/>
          <w:sz w:val="18"/>
        </w:rPr>
        <w:t>版本说明：文档记录的是当前 Campus Commons MVP 的真实行为。对于尚未完成的云端业务数据库迁移，文中会明确标注为下一阶段工作。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01 读者先看这一页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项目摘要</w:t>
      </w:r>
    </w:p>
    <w:p>
      <w:pPr>
        <w:widowControl/>
        <w:spacing w:after="120" w:line="300" w:lineRule="auto"/>
        <w:ind w:firstLine="403"/>
      </w:pPr>
      <w:r>
        <w:rPr>
          <w:rFonts w:ascii="PingFang SC" w:hAnsi="PingFang SC" w:eastAsia="PingFang SC"/>
          <w:color w:val="16312B"/>
          <w:sz w:val="21"/>
        </w:rPr>
        <w:t>Campus Commons 面向校园里的小型组织，例如学生社团、实验室、Makerspace、学生会和项目团队。不同组织拥有的设备、场地、技能、时间和人力经常处于闲置状态，但其他组织仍在重复采购、租赁或通过熟人寻找资源。平台把这些分散资源放入一个共享资源池，让组织用 Mission 描述完整需求，系统生成可执行的资源组合，并在统一截止时间后用公平分配机制处理竞争。</w:t>
      </w:r>
    </w:p>
    <w:p>
      <w:pPr>
        <w:widowControl/>
        <w:spacing w:after="120" w:line="300" w:lineRule="auto"/>
        <w:ind w:firstLine="403"/>
      </w:pPr>
      <w:r>
        <w:rPr>
          <w:rFonts w:ascii="PingFang SC" w:hAnsi="PingFang SC" w:eastAsia="PingFang SC"/>
          <w:color w:val="16312B"/>
          <w:sz w:val="21"/>
        </w:rPr>
        <w:t>平台的关键判断是：公平不是“谁先提交谁先得到”，而是要同时考虑需求紧迫性、替代方案数量、历史贡献、信用可靠性和过去获得资源的机会。用户在截止前提交多个完整方案的偏好，例如 Plan A &gt; Plan B &gt; Plan C；批次执行时，系统在同一轮中综合公平分数和偏好顺序，尽量让更多 Mission 得到可接受方案。</w:t>
      </w:r>
    </w:p>
    <w:p>
      <w:pPr>
        <w:widowControl/>
        <w:spacing w:after="120" w:line="300" w:lineRule="auto"/>
        <w:ind w:firstLine="403"/>
      </w:pPr>
      <w:r>
        <w:rPr>
          <w:rFonts w:ascii="PingFang SC" w:hAnsi="PingFang SC" w:eastAsia="PingFang SC"/>
          <w:color w:val="16312B"/>
          <w:sz w:val="21"/>
        </w:rPr>
        <w:t>项目把一次分配之后的履约、撤回、损坏、争议、扣信用和冻结也纳入同一个系统。这样平台不只回答“资源给了谁”，还能够回答“为什么这样分配”“发生冲突后如何解决”“下一次分配如何使用历史记录”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一句话介绍</w:t>
      </w:r>
    </w:p>
    <w:p>
      <w:pPr>
        <w:widowControl/>
        <w:spacing w:after="200" w:line="300" w:lineRule="auto"/>
      </w:pPr>
      <w:r>
        <w:rPr>
          <w:rFonts w:ascii="PingFang SC" w:hAnsi="PingFang SC" w:eastAsia="PingFang SC"/>
          <w:color w:val="126B51"/>
          <w:sz w:val="24"/>
        </w:rPr>
        <w:t>Campus Commons 是一个把校园闲置 capacity 变成可共享、可分配、可追溯价值的跨组织协作平台。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比赛问题与项目回答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题目要求</w:t>
            </w:r>
          </w:p>
        </w:tc>
        <w:tc>
          <w:tcPr>
            <w:tcW w:type="dxa" w:w="5112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项目回答</w:t>
            </w:r>
          </w:p>
        </w:tc>
        <w:tc>
          <w:tcPr>
            <w:tcW w:type="dxa" w:w="266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评委可观察证据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定义贡献或交换内容</w:t>
            </w:r>
          </w:p>
        </w:tc>
        <w:tc>
          <w:tcPr>
            <w:tcW w:type="dxa" w:w="51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组织共享设备、场地、技能、时间和人力的临时使用权；所有权不转移。</w:t>
            </w:r>
          </w:p>
        </w:tc>
        <w:tc>
          <w:tcPr>
            <w:tcW w:type="dxa" w:w="266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资源条目、availability、owner、condition、booking 和贡献事件。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至少一条公平规则</w:t>
            </w:r>
          </w:p>
        </w:tc>
        <w:tc>
          <w:tcPr>
            <w:tcW w:type="dxa" w:w="51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在满足基本资格后，优先照顾 deadline 更紧、替代更少、历史贡献高、过去机会更少的 Mission。</w:t>
            </w:r>
          </w:p>
        </w:tc>
        <w:tc>
          <w:tcPr>
            <w:tcW w:type="dxa" w:w="266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Fairness score、候选方案比较、批次时间线和解释。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展示 disagreement / withdrawal / imbalance</w:t>
            </w:r>
          </w:p>
        </w:tc>
        <w:tc>
          <w:tcPr>
            <w:tcW w:type="dxa" w:w="51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资源撤回、no-show、错误资源信息、损坏争议和赔偿冻结均有处理流程。</w:t>
            </w:r>
          </w:p>
        </w:tc>
        <w:tc>
          <w:tcPr>
            <w:tcW w:type="dxa" w:w="266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管理端五类 Demo、争议详情、扣信用、冻结与受害方解冻。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证明多案例一致运行</w:t>
            </w:r>
          </w:p>
        </w:tc>
        <w:tc>
          <w:tcPr>
            <w:tcW w:type="dxa" w:w="51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系统保存 decisions、history、credit events、contribution events 和 demo_runs。</w:t>
            </w:r>
          </w:p>
        </w:tc>
        <w:tc>
          <w:tcPr>
            <w:tcW w:type="dxa" w:w="266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持久化历史页、管理端 Demo 报告和数据库记录。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02 问题与价值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被忽视的价值是什么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校园资源的主要问题不是没有资源，而是资源被分散在不同组织手中，无法被稳定发现、描述、组合和调度。一个实验室可能有空闲相机，一个社团有闲置场地，一个学生团队有专业技能；与此同时，另一个组织可能因为不知道这些资源存在而购买或租赁同类资源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目标用户与受益关系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48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主要动作</w:t>
            </w:r>
          </w:p>
        </w:tc>
        <w:tc>
          <w:tcPr>
            <w:tcW w:type="dxa" w:w="2951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得到的价值</w:t>
            </w:r>
          </w:p>
        </w:tc>
        <w:tc>
          <w:tcPr>
            <w:tcW w:type="dxa" w:w="2520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承担的责任</w:t>
            </w:r>
          </w:p>
        </w:tc>
      </w:tr>
      <w:tr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资源提供组织</w:t>
            </w:r>
          </w:p>
        </w:tc>
        <w:tc>
          <w:tcPr>
            <w:tcW w:type="dxa" w:w="244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发布、维护和开放自己的资源。</w:t>
            </w:r>
          </w:p>
        </w:tc>
        <w:tc>
          <w:tcPr>
            <w:tcW w:type="dxa" w:w="295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提高闲置资源利用率，积累贡献和信用。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保证资源状态准确，按确认结果提供和归还资源。</w:t>
            </w:r>
          </w:p>
        </w:tc>
      </w:tr>
      <w:tr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Mission 请求组织</w:t>
            </w:r>
          </w:p>
        </w:tc>
        <w:tc>
          <w:tcPr>
            <w:tcW w:type="dxa" w:w="244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描述需求，确认完整方案偏好，使用资源并反馈。</w:t>
            </w:r>
          </w:p>
        </w:tc>
        <w:tc>
          <w:tcPr>
            <w:tcW w:type="dxa" w:w="295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减少寻找和协调时间，降低外部采购或租赁成本。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按时使用、归还并在出现问题时提交真实证据。</w:t>
            </w:r>
          </w:p>
        </w:tc>
      </w:tr>
      <w:tr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平台管理员</w:t>
            </w:r>
          </w:p>
        </w:tc>
        <w:tc>
          <w:tcPr>
            <w:tcW w:type="dxa" w:w="244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运行 batch、管理资源和组织、审查争议、执行 Demo。</w:t>
            </w:r>
          </w:p>
        </w:tc>
        <w:tc>
          <w:tcPr>
            <w:tcW w:type="dxa" w:w="295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看见平台逻辑、冲突和公平机制是否按规则运行。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维护策略、处理争议，不替用户端做隐藏式决策。</w:t>
            </w:r>
          </w:p>
        </w:tc>
      </w:tr>
      <w:tr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评委或观察者</w:t>
            </w:r>
          </w:p>
        </w:tc>
        <w:tc>
          <w:tcPr>
            <w:tcW w:type="dxa" w:w="244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查看可解释 Demo 和历史记录。</w:t>
            </w:r>
          </w:p>
        </w:tc>
        <w:tc>
          <w:tcPr>
            <w:tcW w:type="dxa" w:w="295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理解从资源上传到分配、履约和冲突解决的完整链路。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关注规则的保护对象、代价和失效条件。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经济价值链</w:t>
      </w:r>
    </w:p>
    <w:p>
      <w:pPr>
        <w:widowControl/>
        <w:spacing w:before="80" w:after="200" w:line="324" w:lineRule="auto"/>
        <w:jc w:val="center"/>
      </w:pPr>
      <w:r>
        <w:rPr>
          <w:rFonts w:ascii="PingFang SC" w:hAnsi="PingFang SC" w:eastAsia="PingFang SC"/>
          <w:b/>
          <w:color w:val="126B51"/>
          <w:sz w:val="21"/>
        </w:rPr>
        <w:t>闲置资源登记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标准化描述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需求拆解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多方案组合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共享使用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贡献与信用沉淀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价值不只体现在一次资源匹配。完成 booking 后，系统可以按照资源填写的外部替代成本与实际使用时长，估算避免的外部租赁或采购支出；共享小时、可用小时、成功完成和信用事件又会成为下一轮公平分配的输入。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公平规则保护谁，谁承担代价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规则优先保护资源获取机会较少、deadline 更紧、可行替代方案更少的组织，同时认可持续共享资源的组织。代价是，较早提交、历史信用较高或偏好更强的组织，在资源紧张时不一定总能获得第一方案。规则也可能在所有请求都高度紧急、需求真实性难验证或供给长期不足时失效，因此管理端必须保留可解释的 Demo 和历史记录。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03 产品与技术架构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完整业务闭环</w:t>
      </w:r>
    </w:p>
    <w:p>
      <w:pPr>
        <w:widowControl/>
        <w:spacing w:before="80" w:after="200" w:line="324" w:lineRule="auto"/>
        <w:jc w:val="center"/>
      </w:pPr>
      <w:r>
        <w:rPr>
          <w:rFonts w:ascii="PingFang SC" w:hAnsi="PingFang SC" w:eastAsia="PingFang SC"/>
          <w:b/>
          <w:color w:val="126B51"/>
          <w:sz w:val="21"/>
        </w:rPr>
        <w:t>用户端 / 管理端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后端 API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持久化数据库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分配逻辑与历史事件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双端重新读取真实状态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当前 MVP 使用一个依赖 Python 标准库的 HTTP 服务。用户端和管理端不互相复制数据，而是都通过 API 读取数据库。每次写入后数据库版本号发生变化，两个前端定时读取版本号，发现变化就重新拉取相关数据。这种方式保证了“数据库是唯一事实源”，而不是让两个浏览器页面各自维护一份状态。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4392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当前 MVP</w:t>
            </w:r>
          </w:p>
        </w:tc>
        <w:tc>
          <w:tcPr>
            <w:tcW w:type="dxa" w:w="3816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工程化方向</w:t>
            </w:r>
          </w:p>
        </w:tc>
      </w:tr>
      <w:tr>
        <w:tc>
          <w:tcPr>
            <w:tcW w:type="dxa" w:w="15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前端</w:t>
            </w:r>
          </w:p>
        </w:tc>
        <w:tc>
          <w:tcPr>
            <w:tcW w:type="dxa" w:w="43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静态 HTML、CSS、JavaScript；用户端和管理端分离显示。</w:t>
            </w:r>
          </w:p>
        </w:tc>
        <w:tc>
          <w:tcPr>
            <w:tcW w:type="dxa" w:w="381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可逐页迁移到 React + Vite，保持 API 与业务逻辑不变。</w:t>
            </w:r>
          </w:p>
        </w:tc>
      </w:tr>
      <w:tr>
        <w:tc>
          <w:tcPr>
            <w:tcW w:type="dxa" w:w="15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后端</w:t>
            </w:r>
          </w:p>
        </w:tc>
        <w:tc>
          <w:tcPr>
            <w:tcW w:type="dxa" w:w="43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单个 server.py，包含 API、业务规则、调度和历史写入。</w:t>
            </w:r>
          </w:p>
        </w:tc>
        <w:tc>
          <w:tcPr>
            <w:tcW w:type="dxa" w:w="381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拆成 FastAPI、services、models、workers 等模块。</w:t>
            </w:r>
          </w:p>
        </w:tc>
      </w:tr>
      <w:tr>
        <w:tc>
          <w:tcPr>
            <w:tcW w:type="dxa" w:w="15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数据库</w:t>
            </w:r>
          </w:p>
        </w:tc>
        <w:tc>
          <w:tcPr>
            <w:tcW w:type="dxa" w:w="43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SQLite 文件 campus_commons.sqlite3；写入后 commit；启动只做增量迁移。</w:t>
            </w:r>
          </w:p>
        </w:tc>
        <w:tc>
          <w:tcPr>
            <w:tcW w:type="dxa" w:w="381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Supabase Postgres 作为共享 Source of Truth。</w:t>
            </w:r>
          </w:p>
        </w:tc>
      </w:tr>
      <w:tr>
        <w:tc>
          <w:tcPr>
            <w:tcW w:type="dxa" w:w="15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调度</w:t>
            </w:r>
          </w:p>
        </w:tc>
        <w:tc>
          <w:tcPr>
            <w:tcW w:type="dxa" w:w="43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管理端手动运行到期批次，也支持保持进程运行的自动调度。</w:t>
            </w:r>
          </w:p>
        </w:tc>
        <w:tc>
          <w:tcPr>
            <w:tcW w:type="dxa" w:w="381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独立 allocation worker，使用数据库事务和行锁。</w:t>
            </w:r>
          </w:p>
        </w:tc>
      </w:tr>
      <w:tr>
        <w:tc>
          <w:tcPr>
            <w:tcW w:type="dxa" w:w="151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文件</w:t>
            </w:r>
          </w:p>
        </w:tc>
        <w:tc>
          <w:tcPr>
            <w:tcW w:type="dxa" w:w="43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本地 Demo 以证据元数据和 data URL 保留；配置 Supabase 后上传私有 Storage。</w:t>
            </w:r>
          </w:p>
        </w:tc>
        <w:tc>
          <w:tcPr>
            <w:tcW w:type="dxa" w:w="381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对象存储保存图片、视频、PDF，数据库只存 metadata 与 object path。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为什么先保留当前前端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项目的核心难点是数据边界、公平分配和冲突处理，不是重新画页面。保留当前前端可以先验证 Mission、Plan、Preference、Batch、Booking 和 Dispute 的完整链路，之后再逐步替换页面，不会因为前端重写而丢失已经验证的规则。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生产版需要补齐的三个边界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身份与权限：当前用本地演示组织切换和 HttpOnly session 模拟多组织；生产版需要 users、organization_members、roles 和 RBAC。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并发与调度：当前 DB_LOCK 只保护单个 Python 进程；生产版要用 PostgreSQL transaction、row lock 和独立 worker 防止多实例重复 booking。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实时同步：当前每 5 秒轮询版本号；生产版可用 WebSocket 或 SSE 推送 resource.updated、mission.updated 和 allocation.completed 事件。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04 数据与历史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系统保存什么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平台把业务对象、状态变化和原因同时保存。状态字段用于快速显示当前结果，事件表和 history_log 用于回答“这个结果是怎么来的”。这对于 Fairness explainability 很重要，因为信用分、贡献度或分配结果不能只留下一个最终数字。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数据表 / 对象</w:t>
            </w:r>
          </w:p>
        </w:tc>
        <w:tc>
          <w:tcPr>
            <w:tcW w:type="dxa" w:w="4608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3168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organizations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credit_score、shared_hours、available_hours、suspended、allocations_won/lost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组织身份、贡献、信用和账户状态。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resources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type、capability、availability、location、capacity、condition、hourly_value、external_hourly_cost、cost_source、status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统一表示设备、场地、技能、人力等共享资源。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missions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requester、title、description、location、start/end、deadline、status、requirements、plans、preferences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记录一个完整的资源请求及其生命周期。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bookings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mission、resource、start/end、quantity、status、completed_at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表达资源在某个时间段被占用、完成或释放。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decisions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fairness components、fairness_score、submitted_preferences、chosen_plan、outcome、explanation、policy_snapshot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保存每一次分配的决策快照。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credit_events / contribution_events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event_type、delta/hours、before/after、mission、details、created_at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记录信用扣分、共享小时和验证可用性。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disputes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reporter、accused、description、compensation、evidence、status、resolution、freeze timestamps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记录证据、审批、赔偿和解冻链路。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history_log / events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entity、action、snapshot、audience_org_id、created_at</w:t>
            </w:r>
          </w:p>
        </w:tc>
        <w:tc>
          <w:tcPr>
            <w:tcW w:type="dxa" w:w="316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保存不可变历史和组织相关通知。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从一次动作到永久历史</w:t>
      </w:r>
    </w:p>
    <w:p>
      <w:pPr>
        <w:widowControl/>
        <w:spacing w:before="80" w:after="200" w:line="324" w:lineRule="auto"/>
        <w:jc w:val="center"/>
      </w:pPr>
      <w:r>
        <w:rPr>
          <w:rFonts w:ascii="PingFang SC" w:hAnsi="PingFang SC" w:eastAsia="PingFang SC"/>
          <w:b/>
          <w:color w:val="126B51"/>
          <w:sz w:val="21"/>
        </w:rPr>
        <w:t>Resource published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Mission submitted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Plans generated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Preferences locked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Batch allocated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Booking completed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Credit / contribution updated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History preserved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前端 localStorage 不作为业务数据库。用户上传的资源、提交的 Mission、偏好、分配、争议和完成状态都由后端写入数据库。浏览器只保留界面偏好和临时表单状态，重新打开网址后再从数据库读取。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真实数据与演示数据的边界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仓库包含演示数据库 campus_commons.sqlite3，启动时不会用快照覆盖已有数据。资源、Mission、预约、决策、争议、信用事件、贡献事件和历史日志均会持续写入。管理端的隔离 Demo 使用 demo_runs 保存报告，不污染正式资源和 Mission。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05 用户端流程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用户如何完成一次资源共享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步骤一 选择组织与查看资源池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当前 MVP 用本地演示组织切换模拟多个组织用户。资源池统一显示资源名称、类型、能力、位置、容量、可用时间、状态、提供组织和外部替代成本参考。资源条目支持四类索引排序：时间从早到晚、位置 A-Z、价格从低到高、状态排序。状态排序让用户优先看到可用、占用、维护中或下架条目。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步骤二 组织发布自己的资源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资源所有组织在“组织档案”中维护自己的资源，不跳转到总资源池。可编辑内容、能力、位置、可用时间、容量、状态和外部替代成本。成本来源使用选项：公开报价、校内费率、校内公开费率、校外市场报价、历史成交价、组织估算、其他；选择“其他”时可以补充说明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步骤三 创建 Mission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提交界面只保留标题、需求、地点和使用时间等必要信息。用户不需要理解后端的 fairness 权重、batch 或候选计算。截止时间由服务端按照最早使用时间前 24 小时计算，避免用户在提交后立刻得到分配结果。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步骤四 生成完整 Mission Plans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系统把自然语言需求拆成多个 resource requirements，例如设备、场地、技能、时间和人力，再从资源池检索可用资源。每个 Plan 是一套完整可执行组合，而不是单个资源推荐。Plan 的匹配会考虑 capability、availability、location、capacity 和约束。任一 mandatory resource 缺失，整个 Plan 不可行。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步骤五 提交偏好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用户可以在截止前把多个可接受方案按偏好锁定，例如 Plan B &gt; Plan A &gt; Plan C。偏好不会在第一方案失败后重新申请，而是进入同一轮 batch allocation。截止前可修改偏好；截止后进入冻结状态。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步骤六 只接收结果通知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用户端只显示与当前组织相关的活动，以及“Mission / 设备 / 场地已获批”、候补、替换待确认和完成状态。batch 运行过程、fairness 权重和管理端测试数据不向普通用户展示。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06 分配与 FAIRNESS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为什么不是提交后立即分配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如果 Mission 一提交就立即分配，后提交但同样紧急的组织没有机会进入同一轮竞争，系统会退化成 First-Come-First-Served。当前设计使用 rolling application window，MVP 采用 T-24h 截止。截止前的有效 Mission 进入同一个 allocation pool，截止后由管理端批次执行。</w:t>
      </w:r>
    </w:p>
    <w:p>
      <w:pPr>
        <w:widowControl/>
        <w:spacing w:before="80" w:after="200" w:line="324" w:lineRule="auto"/>
        <w:jc w:val="center"/>
      </w:pPr>
      <w:r>
        <w:rPr>
          <w:rFonts w:ascii="PingFang SC" w:hAnsi="PingFang SC" w:eastAsia="PingFang SC"/>
          <w:b/>
          <w:color w:val="126B51"/>
          <w:sz w:val="21"/>
        </w:rPr>
        <w:t>提交 Mission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生成完整 Plans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截止前修改偏好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T-24h cutoff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同一轮 batch allocation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结果 freeze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Fairness 的输入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896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80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保护的情况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Urgency</w:t>
            </w:r>
          </w:p>
        </w:tc>
        <w:tc>
          <w:tcPr>
            <w:tcW w:type="dxa" w:w="489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距离 deadline 越近，紧迫程度越高。</w:t>
            </w:r>
          </w:p>
        </w:tc>
        <w:tc>
          <w:tcPr>
            <w:tcW w:type="dxa" w:w="288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避免紧急但较晚提交的 Mission 被完全忽略。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Contribution</w:t>
            </w:r>
          </w:p>
        </w:tc>
        <w:tc>
          <w:tcPr>
            <w:tcW w:type="dxa" w:w="489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基于共享小时和已验证可用小时。</w:t>
            </w:r>
          </w:p>
        </w:tc>
        <w:tc>
          <w:tcPr>
            <w:tcW w:type="dxa" w:w="288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认可长期向生态提供资源的组织。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Credit</w:t>
            </w:r>
          </w:p>
        </w:tc>
        <w:tc>
          <w:tcPr>
            <w:tcW w:type="dxa" w:w="489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信用分归一化为连续变量。</w:t>
            </w:r>
          </w:p>
        </w:tc>
        <w:tc>
          <w:tcPr>
            <w:tcW w:type="dxa" w:w="288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奖励可靠履约，降低严重违约风险。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Access Fairness</w:t>
            </w:r>
          </w:p>
        </w:tc>
        <w:tc>
          <w:tcPr>
            <w:tcW w:type="dxa" w:w="489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过去获得资源次数、未获配次数和近期使用量。</w:t>
            </w:r>
          </w:p>
        </w:tc>
        <w:tc>
          <w:tcPr>
            <w:tcW w:type="dxa" w:w="288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照顾过去获取机会较少的组织。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Alternative Scarcity</w:t>
            </w:r>
          </w:p>
        </w:tc>
        <w:tc>
          <w:tcPr>
            <w:tcW w:type="dxa" w:w="489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可行完整 Plan 越少，分数越高。</w:t>
            </w:r>
          </w:p>
        </w:tc>
        <w:tc>
          <w:tcPr>
            <w:tcW w:type="dxa" w:w="288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8"/>
              </w:rPr>
              <w:t>保护替代方案不足的 Mission。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内部评分公式</w:t>
      </w:r>
    </w:p>
    <w:p>
      <w:pPr>
        <w:widowControl/>
        <w:spacing w:after="140" w:line="276" w:lineRule="auto"/>
        <w:ind w:left="259" w:right="259"/>
      </w:pPr>
      <w:r>
        <w:rPr>
          <w:rFonts w:ascii="Menlo" w:hAnsi="Menlo" w:eastAsia="Menlo"/>
          <w:color w:val="36433F"/>
          <w:sz w:val="18"/>
        </w:rPr>
        <w:t>Fairness = 0.30 x Urgency + 0.20 x Contribution + 0.15 x Credit + 0.20 x Access Fairness + 0.15 x Alternative Scarcity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这是管理端和 Demo 用于解释的策略快照。权重不会显示在用户端，普通用户只看到最终 fairness 总分和获批、候补或替换结果。当前代码将 credit 作为连续公平输入，严重 unresolved violation 通过 suspended 状态限制资格，而不是把 70 分以下的组织直接全部归零。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批次的决策逻辑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锁定截止前提交的 Mission、有效方案和偏好顺序。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检查每个 Plan 的时间、能力、位置、容量、资源状态和 booking 冲突。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按 fairness score 比较竞争 Mission，同时尽可能满足更靠前的完整 Plan 偏好。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若 Plan A 因关键资源冲突不可行，在同一轮尝试 Plan B / Plan C。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写入 bookings、decisions、events、history_log 和信用或贡献事件，并冻结结果。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后续新出现的 urgent Mission 不能抢占已经确认的资源，只能使用剩余 capacity 重新匹配。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07 冲突与争议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冲突不是异常页面，而是业务流程的一部分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资源共享系统必须处理资源撤回、容量冲突、临时取消、no-show、设备状态不一致和损坏争议。平台把这些情况记录为可追溯事件，并让用户、提供方和管理员分别承担清晰的动作。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888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2592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用户端可见结果</w:t>
            </w:r>
          </w:p>
        </w:tc>
        <w:tc>
          <w:tcPr>
            <w:tcW w:type="dxa" w:w="1440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管理端证据</w:t>
            </w:r>
          </w:p>
        </w:tc>
      </w:tr>
      <w:tr>
        <w:tc>
          <w:tcPr>
            <w:tcW w:type="dxa" w:w="187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首选 Plan 冲突</w:t>
            </w:r>
          </w:p>
        </w:tc>
        <w:tc>
          <w:tcPr>
            <w:tcW w:type="dxa" w:w="388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在同一批次尝试已提交的下一个完整 Plan。</w:t>
            </w:r>
          </w:p>
        </w:tc>
        <w:tc>
          <w:tcPr>
            <w:tcW w:type="dxa" w:w="25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已获批 Plan B 或候补。</w:t>
            </w:r>
          </w:p>
        </w:tc>
        <w:tc>
          <w:tcPr>
            <w:tcW w:type="dxa" w:w="144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候选方案、冲突资源、fairness 和选择原因。</w:t>
            </w:r>
          </w:p>
        </w:tc>
      </w:tr>
      <w:tr>
        <w:tc>
          <w:tcPr>
            <w:tcW w:type="dxa" w:w="187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提供方在确认后撤回</w:t>
            </w:r>
          </w:p>
        </w:tc>
        <w:tc>
          <w:tcPr>
            <w:tcW w:type="dxa" w:w="388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先尝试原 Mission 中尚未使用的备选 Plan；没有可行备选时重新生成 replacement plan。</w:t>
            </w:r>
          </w:p>
        </w:tc>
        <w:tc>
          <w:tcPr>
            <w:tcW w:type="dxa" w:w="25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替换待确认或新的获批方案。</w:t>
            </w:r>
          </w:p>
        </w:tc>
        <w:tc>
          <w:tcPr>
            <w:tcW w:type="dxa" w:w="144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撤回时间、释放 booking、replacement 过程。</w:t>
            </w:r>
          </w:p>
        </w:tc>
      </w:tr>
      <w:tr>
        <w:tc>
          <w:tcPr>
            <w:tcW w:type="dxa" w:w="187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Mission 请求方撤回</w:t>
            </w:r>
          </w:p>
        </w:tc>
        <w:tc>
          <w:tcPr>
            <w:tcW w:type="dxa" w:w="388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释放 active booking，记录撤回事件，并按规则扣信用。</w:t>
            </w:r>
          </w:p>
        </w:tc>
        <w:tc>
          <w:tcPr>
            <w:tcW w:type="dxa" w:w="25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Mission 已撤回，资源回到可用状态。</w:t>
            </w:r>
          </w:p>
        </w:tc>
        <w:tc>
          <w:tcPr>
            <w:tcW w:type="dxa" w:w="144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booking 释放记录、信用事件和历史快照。</w:t>
            </w:r>
          </w:p>
        </w:tc>
      </w:tr>
      <w:tr>
        <w:tc>
          <w:tcPr>
            <w:tcW w:type="dxa" w:w="187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提供方 no-show</w:t>
            </w:r>
          </w:p>
        </w:tc>
        <w:tc>
          <w:tcPr>
            <w:tcW w:type="dxa" w:w="388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管理员指定提供方并记录违约，自动扣信用。</w:t>
            </w:r>
          </w:p>
        </w:tc>
        <w:tc>
          <w:tcPr>
            <w:tcW w:type="dxa" w:w="25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Mission 进入冲突或替换流程。</w:t>
            </w:r>
          </w:p>
        </w:tc>
        <w:tc>
          <w:tcPr>
            <w:tcW w:type="dxa" w:w="144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no-show 操作、扣分前后分数和责任组织。</w:t>
            </w:r>
          </w:p>
        </w:tc>
      </w:tr>
      <w:tr>
        <w:tc>
          <w:tcPr>
            <w:tcW w:type="dxa" w:w="187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设备损坏或金额赔偿</w:t>
            </w:r>
          </w:p>
        </w:tc>
        <w:tc>
          <w:tcPr>
            <w:tcW w:type="dxa" w:w="388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受害方提交描述、金额和证据；管理员审批后冻结违约组织。</w:t>
            </w:r>
          </w:p>
        </w:tc>
        <w:tc>
          <w:tcPr>
            <w:tcW w:type="dxa" w:w="25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显示等待管理员处理或等待受害方确认。</w:t>
            </w:r>
          </w:p>
        </w:tc>
        <w:tc>
          <w:tcPr>
            <w:tcW w:type="dxa" w:w="144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证据文件、赔偿金额、审批记录和冻结状态。</w:t>
            </w:r>
          </w:p>
        </w:tc>
      </w:tr>
      <w:tr>
        <w:tc>
          <w:tcPr>
            <w:tcW w:type="dxa" w:w="187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受害方确认已解决</w:t>
            </w:r>
          </w:p>
        </w:tc>
        <w:tc>
          <w:tcPr>
            <w:tcW w:type="dxa" w:w="388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受害方点击“已经解决”；无其他待处理赔偿争议时自动解冻。</w:t>
            </w:r>
          </w:p>
        </w:tc>
        <w:tc>
          <w:tcPr>
            <w:tcW w:type="dxa" w:w="259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争议已解决，组织恢复正常。</w:t>
            </w:r>
          </w:p>
        </w:tc>
        <w:tc>
          <w:tcPr>
            <w:tcW w:type="dxa" w:w="144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6"/>
              </w:rPr>
              <w:t>victim_resolved_at、解冻动作和历史事件。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证据与冻结逻辑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受害组织在 Mission 详情中选择违约方，填写争议类型、描述和赔偿金额。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金额赔偿必须上传至少一份证据，支持图片、视频、PDF 或文档，最多 5 个文件，每个不超过 2 MB。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管理员在冲突与争议页面查看详情、证据文件、双方组织、金额、信用和账户状态。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确认违约后，系统自动扣除信用；如果存在金额赔偿，状态进入 awaiting_victim，并冻结违约组织。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冻结状态持续到受害方确认已经解决。管理员不能绕过仍然存在的待处理赔偿争议手动解冻。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当前配置 Supabase 后，证据文件会写入私有 campus-evidence bucket，SQLite 只保留名称、类型、大小和对象路径；管理端通过带管理员会话的后端接口查看文件。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08 管理端与可解释 DEMO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管理端解决什么问题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管理端与用户端共享同一个后端和数据库，但功能边界完全不同。它用于测试批次分配、查看公平评判、管理资源和组织、处理争议、运行隔离 Demo，并验证历史记录。普通用户不可见 batch 过程、fairness 权重和后台测试数据。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管理端模块</w:t>
            </w:r>
          </w:p>
        </w:tc>
        <w:tc>
          <w:tcPr>
            <w:tcW w:type="dxa" w:w="4536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主要功能</w:t>
            </w:r>
          </w:p>
        </w:tc>
        <w:tc>
          <w:tcPr>
            <w:tcW w:type="dxa" w:w="3311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演示价值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总览</w:t>
            </w:r>
          </w:p>
        </w:tc>
        <w:tc>
          <w:tcPr>
            <w:tcW w:type="dxa" w:w="453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组织、资源、Mission、候补/冲突、最近事件和数据连接状态。</w:t>
            </w:r>
          </w:p>
        </w:tc>
        <w:tc>
          <w:tcPr>
            <w:tcW w:type="dxa" w:w="331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快速说明系统当前状态和数据来源。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Mission 与分配</w:t>
            </w:r>
          </w:p>
        </w:tc>
        <w:tc>
          <w:tcPr>
            <w:tcW w:type="dxa" w:w="453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运行到期批次、观察分配、撤回、开始使用、完成归还和 no-show。</w:t>
            </w:r>
          </w:p>
        </w:tc>
        <w:tc>
          <w:tcPr>
            <w:tcW w:type="dxa" w:w="331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展示状态如何从 open 走到 allocated、in_use、completed 或 waitlisted。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资源管理</w:t>
            </w:r>
          </w:p>
        </w:tc>
        <w:tc>
          <w:tcPr>
            <w:tcW w:type="dxa" w:w="453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修正资源状态，查看所属组织和可用信息。</w:t>
            </w:r>
          </w:p>
        </w:tc>
        <w:tc>
          <w:tcPr>
            <w:tcW w:type="dxa" w:w="331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说明资源状态变化如何影响推荐与 booking。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组织管理</w:t>
            </w:r>
          </w:p>
        </w:tc>
        <w:tc>
          <w:tcPr>
            <w:tcW w:type="dxa" w:w="453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查看信用、共享/可用时长、赢得/失去次数和冻结状态。</w:t>
            </w:r>
          </w:p>
        </w:tc>
        <w:tc>
          <w:tcPr>
            <w:tcW w:type="dxa" w:w="331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说明贡献、信用与公平输入之间的关系。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测试 Demo</w:t>
            </w:r>
          </w:p>
        </w:tc>
        <w:tc>
          <w:tcPr>
            <w:tcW w:type="dxa" w:w="453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运行全部场景、冲突与公平、撤回释放、违约替换、偏好顺序。</w:t>
            </w:r>
          </w:p>
        </w:tc>
        <w:tc>
          <w:tcPr>
            <w:tcW w:type="dxa" w:w="331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用可视化时间线和断言解释底层逻辑。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冲突与争议</w:t>
            </w:r>
          </w:p>
        </w:tc>
        <w:tc>
          <w:tcPr>
            <w:tcW w:type="dxa" w:w="453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查看详情、证据、赔偿、审批、扣分和冻结。</w:t>
            </w:r>
          </w:p>
        </w:tc>
        <w:tc>
          <w:tcPr>
            <w:tcW w:type="dxa" w:w="331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展示平台如何处理 disagreement 和 imbalance。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持久化历史</w:t>
            </w:r>
          </w:p>
        </w:tc>
        <w:tc>
          <w:tcPr>
            <w:tcW w:type="dxa" w:w="453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查看资源、Mission、争议和平台变更记录。</w:t>
            </w:r>
          </w:p>
        </w:tc>
        <w:tc>
          <w:tcPr>
            <w:tcW w:type="dxa" w:w="3311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证明每一次动作可追溯。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五个 Demo 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328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流程</w:t>
            </w:r>
          </w:p>
        </w:tc>
        <w:tc>
          <w:tcPr>
            <w:tcW w:type="dxa" w:w="2520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评委应关注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冲突与公平</w:t>
            </w:r>
          </w:p>
        </w:tc>
        <w:tc>
          <w:tcPr>
            <w:tcW w:type="dxa" w:w="532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两个 Mission 竞争同一资源，系统比较 urgency、access fairness、contribution、credit、scarcity。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不是先到先得；结果能解释。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撤回释放</w:t>
            </w:r>
          </w:p>
        </w:tc>
        <w:tc>
          <w:tcPr>
            <w:tcW w:type="dxa" w:w="532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资源提供方撤回已确认资源，系统释放 booking，尝试备选方案或生成 replacement plan。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撤回不会让系统崩溃，资源和 Mission 状态一致。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违约替换</w:t>
            </w:r>
          </w:p>
        </w:tc>
        <w:tc>
          <w:tcPr>
            <w:tcW w:type="dxa" w:w="532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提供方 no-show 或资源状态不一致，系统扣信用并尝试替换。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责任进入信用和历史，而不是只显示一条日志。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偏好顺序</w:t>
            </w:r>
          </w:p>
        </w:tc>
        <w:tc>
          <w:tcPr>
            <w:tcW w:type="dxa" w:w="532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Plan A 冲突，系统按照用户预提交的 Plan B / Plan C 继续尝试。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偏好真的影响结果，且不要求用户重新申请。</w:t>
            </w:r>
          </w:p>
        </w:tc>
      </w:tr>
      <w:tr>
        <w:tc>
          <w:tcPr>
            <w:tcW w:type="dxa" w:w="1944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全部场景</w:t>
            </w:r>
          </w:p>
        </w:tc>
        <w:tc>
          <w:tcPr>
            <w:tcW w:type="dxa" w:w="532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连续运行所有隔离场景，输出统一报告。</w:t>
            </w:r>
          </w:p>
        </w:tc>
        <w:tc>
          <w:tcPr>
            <w:tcW w:type="dxa" w:w="252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可作为比赛现场的完整演示入口。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一份 Demo 报告包含什么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时间线：提交、截止、batch 执行、冲突、候补、替换和最终结果。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Batch 时钟：提交时间、cutoff 时间、执行时间，证明系统没有提交即分配。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Fairness 评分过程：候选组织总分、组件输入、获批或候补原因。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状态节点：allocated、waitlisted、withdrawn、replacement_pending、resolved 等。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可验证断言：资源冲突是否被检测、结果是否冻结、信用事件是否写入、用户端是否只收到最终结果。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09 经济价值与证据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平台如何证明比群聊和表格更有效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评估不能只说“匹配更智能”，而要比较资源发现、协调、完成和争议处理的可观察结果。当前 MVP 已在管理端提供指标入口，并把关键事件保存到数据库，为后续真实案例统计做准备。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608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计算方式</w:t>
            </w:r>
          </w:p>
        </w:tc>
        <w:tc>
          <w:tcPr>
            <w:tcW w:type="dxa" w:w="2808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37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Allocation Success Rate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获得任一可接受 Plan 的 Mission / 全部 Mission</w:t>
            </w:r>
          </w:p>
        </w:tc>
        <w:tc>
          <w:tcPr>
            <w:tcW w:type="dxa" w:w="28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衡量需求被满足的比例。</w:t>
            </w:r>
          </w:p>
        </w:tc>
      </w:tr>
      <w:tr>
        <w:tc>
          <w:tcPr>
            <w:tcW w:type="dxa" w:w="237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First-choice Satisfaction Rate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获得 Plan A 的 Mission / 获得资源的 Mission</w:t>
            </w:r>
          </w:p>
        </w:tc>
        <w:tc>
          <w:tcPr>
            <w:tcW w:type="dxa" w:w="28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衡量偏好顺序是否被尽可能满足。</w:t>
            </w:r>
          </w:p>
        </w:tc>
      </w:tr>
      <w:tr>
        <w:tc>
          <w:tcPr>
            <w:tcW w:type="dxa" w:w="237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Resource Concentration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资源使用在组织之间的集中程度</w:t>
            </w:r>
          </w:p>
        </w:tc>
        <w:tc>
          <w:tcPr>
            <w:tcW w:type="dxa" w:w="28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观察热门资源是否长期集中在少数组织。</w:t>
            </w:r>
          </w:p>
        </w:tc>
      </w:tr>
      <w:tr>
        <w:tc>
          <w:tcPr>
            <w:tcW w:type="dxa" w:w="237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Contribution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0.8 x 归一化共享小时 + 0.2 x 归一化已验证可用小时</w:t>
            </w:r>
          </w:p>
        </w:tc>
        <w:tc>
          <w:tcPr>
            <w:tcW w:type="dxa" w:w="28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把实际共享与可信可用 capacity 都纳入贡献。</w:t>
            </w:r>
          </w:p>
        </w:tc>
      </w:tr>
      <w:tr>
        <w:tc>
          <w:tcPr>
            <w:tcW w:type="dxa" w:w="237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Estimated Cost Saved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已完成 booking 的外部替代成本 x 实际使用时长之和</w:t>
            </w:r>
          </w:p>
        </w:tc>
        <w:tc>
          <w:tcPr>
            <w:tcW w:type="dxa" w:w="28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估计减少的采购或外部租赁支出。</w:t>
            </w:r>
          </w:p>
        </w:tc>
      </w:tr>
      <w:tr>
        <w:tc>
          <w:tcPr>
            <w:tcW w:type="dxa" w:w="2376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Fairness Index</w:t>
            </w:r>
          </w:p>
        </w:tc>
        <w:tc>
          <w:tcPr>
            <w:tcW w:type="dxa" w:w="46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已记录 fairness score 的平均值</w:t>
            </w:r>
          </w:p>
        </w:tc>
        <w:tc>
          <w:tcPr>
            <w:tcW w:type="dxa" w:w="2808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观察不同案例中的公平结果。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成本参考来源为什么必须记录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资源提供方填写外部替代成本时，系统要求选择参考来源，例如公开报价、校内费率、校外市场报价或组织估算。这样评委询问“节省金额从哪里来”时，可以回到资源条目和完成 booking，而不是把一个无法解释的数字放在 Dashboard 上。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证据链</w:t>
      </w:r>
    </w:p>
    <w:p>
      <w:pPr>
        <w:widowControl/>
        <w:spacing w:before="80" w:after="200" w:line="324" w:lineRule="auto"/>
        <w:jc w:val="center"/>
      </w:pPr>
      <w:r>
        <w:rPr>
          <w:rFonts w:ascii="PingFang SC" w:hAnsi="PingFang SC" w:eastAsia="PingFang SC"/>
          <w:b/>
          <w:color w:val="126B51"/>
          <w:sz w:val="21"/>
        </w:rPr>
        <w:t>资源可用时长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Mission 需求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匹配方案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分配决策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实际 booking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完成归还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成本节省与贡献事件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完整证据链让平台能同时解释经济价值和公平代价：谁共享了资源、谁得到使用机会、哪一个方案被选中、冲突发生后谁承担了什么后果。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10 创新点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项目创新点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创新点一 从资源列表升级为完整可执行方案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传统资源平台通常只推荐一个设备或一个房间，剩余协调仍由用户在群聊里完成。Campus Commons 把 Mission 拆成 requirements，并生成多个完整 Mission Plans。一个 Plan 同时包含设备、场地、技能、时间和人力组合，用户选择的是“可执行方案”，不是一串需要继续协调的资源链接。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创新点二 从先到先得升级为有窗口的公平批次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平台把截止前的有效请求放入同一轮竞争，避免晚提交的紧急请求因为时间戳而天然失败。Fairness 同时看 urgency、contribution、credit、access fairness 和 alternative scarcity；资源不足时既保护替代少的 Mission，也避免热门资源长期集中。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创新点三 把公平变成可解释的决策快照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每次分配都保留当时的 fairness 输入、总分、偏好、选中方案、结果、原因和策略快照。管理端可以用时间线和候选分数卡解释结果；用户端只收到最终批准结果和自己的状态。公平规则因此可以被检查、复盘和测试，而不是只能相信系统的一个结论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创新点四 把履约和争议纳入价值系统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资源共享并不在分配成功时结束。撤回、no-show、损坏、赔偿和受害方确认都会改变信用、冻结状态和未来分配资格。证据文件、审批时间和解冻动作一起形成责任闭环，使“信任”成为可记录、可恢复、可验证的系统状态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创新点五 让闲置 capacity 形成可计量经济价值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平台不创造新货币，也不转移资源所有权，而是把原本不可见的闲置小时转成共享 capacity，再通过完成 booking 估算避免的外部租赁或采购成本。这种价值可以被资源条目、使用时长和成本参考来源共同解释。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创新点六 开发者与用户看到不同的信息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普通用户只需要发布 Mission、上传资源、选择偏好和确认结果；开发者与评委需要看到 batch 时钟、冲突、fairness 组成、状态转移和历史证据。平台把两类界面分开，既保持用户体验简洁，又让底层机制能被测试和审查。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11 现场演示脚本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三分钟用户端演示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以 HKU Robotics 进入用户端，打开资源池，展示状态排序、时间排序、位置 A-Z 和价格低到高。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打开组织档案，展示本组织资源池，编辑一条已上架资源的描述或状态。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提交一个 Mission，只填写标题、需求、地点和使用时间，说明提交后不会立即分配。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生成多个完整 Mission Plans，把 Plan A、Plan B、Plan C 按偏好排序并保存。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切换到另一个组织视角，展示同一资源和 Mission 状态可以被多个会话读取。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回到用户端，展示只出现 Mission / 设备 / 场地已获批、候补或替换待确认，不出现 batch 权重。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五分钟管理端演示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从原网站打开管理控制台，登录管理员账号。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在总览中展示组织、资源、Mission、候补/冲突和数据连接状态。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进入测试 Demo，运行“冲突与公平”，说明提交、cutoff 和执行时间。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指向候选分数卡，解释总分由哪些输入构成，但说明权重只属于管理端策略。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运行“偏好顺序”，展示 Plan A 冲突后，系统继续尝试 Plan B，而不是让用户重新申请。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运行“撤回释放”和“违约替换”，展示 booking 释放、替换方案和信用事件。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进入冲突与争议，查看证据、金额、违约方、扣分和冻结。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进入持久化历史，展示资源、Mission、分配决策和争议都有不可变记录。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现场需要说清楚的三句话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我们不是把资源所有权转移给平台，而是把临时使用权和闲置 capacity 组织起来。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我们不是在公平分配后写一段解释，而是把决策时的输入、策略和结果一起保存。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我们不是只演示成功匹配，也演示撤回、冲突、违约、证据、冻结和解决。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12 当前版本与下一阶段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当前版本已实现的能力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800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760"/>
            <w:shd w:fill="16312B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资源 CRUD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已实现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上传、编辑、排序、状态管理、组织自有资源管理。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Mission 与 Plans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已实现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需求拆解、完整方案生成、偏好提交、状态流转。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Batch allocation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已实现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截止后批次分配、资源冲突、候补、结果冻结。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Fairness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已实现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总分、组件、策略快照、管理端可解释报告；用户端隐藏权重。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履约与贡献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已实现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checkout、complete、共享小时、可用小时和成本节省估算。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争议与冻结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已实现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证据、赔偿、扣信用、冻结、受害方确认解决、自动解冻。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持久化历史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已实现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SQLite 数据库、history_log、events、decisions、credit/contribution events。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云端证据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已接入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  <w:shd w:fill="F7FAF8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Supabase Storage 私有 bucket；需要本机 `.env` 配置。</w:t>
            </w:r>
          </w:p>
        </w:tc>
      </w:tr>
      <w:tr>
        <w:tc>
          <w:tcPr>
            <w:tcW w:type="dxa" w:w="2232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云端统一业务数据库</w:t>
            </w:r>
          </w:p>
        </w:tc>
        <w:tc>
          <w:tcPr>
            <w:tcW w:type="dxa" w:w="180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下一阶段</w:t>
            </w:r>
          </w:p>
        </w:tc>
        <w:tc>
          <w:tcPr>
            <w:tcW w:type="dxa" w:w="5760"/>
            <w:tcBorders>
              <w:top w:val="single" w:sz="6" w:space="0" w:color="D9E3DE"/>
              <w:left w:val="single" w:sz="6" w:space="0" w:color="D9E3DE"/>
              <w:bottom w:val="single" w:sz="6" w:space="0" w:color="D9E3DE"/>
              <w:right w:val="single" w:sz="6" w:space="0" w:color="D9E3DE"/>
              <w:insideH w:val="single" w:sz="6" w:space="0" w:color="D9E3DE"/>
              <w:insideV w:val="single" w:sz="6" w:space="0" w:color="D9E3DE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PingFang SC" w:hAnsi="PingFang SC" w:eastAsia="PingFang SC"/>
                <w:color w:val="36433F"/>
                <w:sz w:val="17"/>
              </w:rPr>
              <w:t>需要把业务表迁移到 Supabase Postgres 并进行多端并发验证。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主要用户 API</w:t>
      </w:r>
    </w:p>
    <w:p>
      <w:pPr>
        <w:widowControl/>
        <w:spacing w:after="140" w:line="276" w:lineRule="auto"/>
        <w:ind w:left="259" w:right="259"/>
      </w:pPr>
      <w:r>
        <w:rPr>
          <w:rFonts w:ascii="Menlo" w:hAnsi="Menlo" w:eastAsia="Menlo"/>
          <w:color w:val="36433F"/>
          <w:sz w:val="18"/>
        </w:rPr>
        <w:t>GET  /api/bootstrap             用户端初始化与版本号</w:t>
        <w:br/>
        <w:t>GET  /api/history                当前组织历史</w:t>
        <w:br/>
        <w:t>POST /api/resources              发布资源</w:t>
        <w:br/>
        <w:t>PATCH /api/resources/:id         修改自己的资源</w:t>
        <w:br/>
        <w:t>POST /api/missions               提交 Mission</w:t>
        <w:br/>
        <w:t>POST /api/missions/:id/preferences 保存方案偏好</w:t>
        <w:br/>
        <w:t>POST /api/missions/:id/{withdraw,checkout,complete}</w:t>
        <w:br/>
        <w:t>POST /api/missions/:id/disputes  提交争议与证据</w:t>
        <w:br/>
        <w:t>POST /api/disputes/:id/resolve   受害方确认解决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主要管理 API</w:t>
      </w:r>
    </w:p>
    <w:p>
      <w:pPr>
        <w:widowControl/>
        <w:spacing w:after="140" w:line="276" w:lineRule="auto"/>
        <w:ind w:left="259" w:right="259"/>
      </w:pPr>
      <w:r>
        <w:rPr>
          <w:rFonts w:ascii="Menlo" w:hAnsi="Menlo" w:eastAsia="Menlo"/>
          <w:color w:val="36433F"/>
          <w:sz w:val="18"/>
        </w:rPr>
        <w:t>POST /api/admin/login          管理员登录</w:t>
        <w:br/>
        <w:t>GET  /api/admin/bootstrap       管理端全量状态</w:t>
        <w:br/>
        <w:t>POST /api/admin/allocation/run  运行到期批次</w:t>
        <w:br/>
        <w:t>POST /api/admin/demo/run        运行隔离 Demo</w:t>
        <w:br/>
        <w:t>PATCH /api/admin/config         调整调度与公平策略</w:t>
        <w:br/>
        <w:t>POST /api/admin/disputes/:id/resolve  审批争议</w:t>
        <w:br/>
        <w:t>GET  /api/admin/disputes/:id/evidence/:index  查看证据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下一阶段工程化路线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先迁移业务 schema：organizations、resources、missions、plans、bookings、decisions、events 和 disputes 到 Supabase Postgres。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用 FastAPI 包住现有 Python 业务逻辑，并把 services、models、db、workers 拆开。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把用户、组织成员和管理员权限从演示 session 升级为真实 Auth 与 RBAC。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把 allocation worker 独立出来，用数据库事务和 row locking 处理并发。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加入 WebSocket 或 SSE，将数据库写入事件推送给用户端和管理端。</w:t>
      </w:r>
    </w:p>
    <w:p>
      <w:pPr>
        <w:pStyle w:val="ListNumber"/>
        <w:widowControl/>
        <w:spacing w:after="80" w:line="288" w:lineRule="auto"/>
        <w:ind w:left="403" w:hanging="259"/>
      </w:pPr>
      <w:r>
        <w:rPr>
          <w:rFonts w:ascii="PingFang SC" w:hAnsi="PingFang SC" w:eastAsia="PingFang SC"/>
          <w:color w:val="16312B"/>
          <w:sz w:val="20"/>
        </w:rPr>
        <w:t>最后逐步迁移 React/Vite 页面，保持现有 API、Fairness 和历史模型。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1"/>
        </w:rPr>
        <w:t>迁移顺序应当是 Database first -&gt; Backend second -&gt; Realtime third -&gt; Frontend modernization last。这样可以先确保系统有真实、可审计的事实源，再升级交互和部署。</w:t>
      </w:r>
    </w:p>
    <w:p>
      <w:pPr>
        <w:widowControl/>
      </w:pPr>
      <w:r>
        <w:br w:type="page"/>
      </w:r>
    </w:p>
    <w:p>
      <w:pPr>
        <w:widowControl/>
        <w:spacing w:after="60"/>
      </w:pPr>
      <w:r>
        <w:rPr>
          <w:rFonts w:ascii="PingFang SC" w:hAnsi="PingFang SC" w:eastAsia="PingFang SC"/>
          <w:b/>
          <w:color w:val="126B51"/>
          <w:sz w:val="18"/>
        </w:rPr>
        <w:t>13 PPT 与海报提炼</w:t>
      </w:r>
    </w:p>
    <w:p>
      <w:pPr>
        <w:pStyle w:val="Heading1"/>
        <w:keepNext/>
        <w:widowControl/>
        <w:spacing w:before="340" w:after="120"/>
      </w:pPr>
      <w:r>
        <w:rPr>
          <w:rFonts w:ascii="PingFang SC" w:hAnsi="PingFang SC" w:eastAsia="PingFang SC"/>
          <w:b/>
          <w:color w:val="000000"/>
          <w:sz w:val="34"/>
        </w:rPr>
        <w:t>可以直接放进 PPT 的内容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问题页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资源分散在社团、实验室、Makerspace 和项目团队中。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信息依赖熟人和群聊，资源没有统一描述。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一边有闲置设备和场地，另一边仍然重复采购或租赁。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解决方案页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组织把设备、场地、技能和时间发布到共享资源池。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用户用 Mission 描述完整需求，系统生成多套可执行方案。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截止后，Fair Allocation Engine 在同一批次内综合公平分数和方案偏好。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使用、履约、争议和信用记录全部保留下来。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创新页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从单资源推荐变成完整 Mission Plan 组合。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从先到先得变成有 application window 的公平批次。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从黑盒结果变成可复盘的 Allocation Decision Snapshot。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从一次匹配变成包含撤回、违约、证据、冻结和解冻的责任闭环。</w:t>
      </w:r>
    </w:p>
    <w:p>
      <w:pPr>
        <w:pStyle w:val="ListBullet"/>
        <w:widowControl/>
        <w:spacing w:after="80" w:line="288" w:lineRule="auto"/>
        <w:ind w:left="331" w:hanging="230"/>
      </w:pPr>
      <w:r>
        <w:rPr>
          <w:rFonts w:ascii="PingFang SC" w:hAnsi="PingFang SC" w:eastAsia="PingFang SC"/>
          <w:color w:val="16312B"/>
          <w:sz w:val="20"/>
        </w:rPr>
        <w:t>从不可见的闲置时间变成可估算的 Cost Saved / Value Unlocked。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技术架构页</w:t>
      </w:r>
    </w:p>
    <w:p>
      <w:pPr>
        <w:widowControl/>
        <w:spacing w:before="80" w:after="200" w:line="324" w:lineRule="auto"/>
        <w:jc w:val="center"/>
      </w:pPr>
      <w:r>
        <w:rPr>
          <w:rFonts w:ascii="PingFang SC" w:hAnsi="PingFang SC" w:eastAsia="PingFang SC"/>
          <w:b/>
          <w:color w:val="126B51"/>
          <w:sz w:val="21"/>
        </w:rPr>
        <w:t>User Frontend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REST API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PostgreSQL / SQLite Source of Truth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355C8A"/>
          <w:sz w:val="21"/>
        </w:rPr>
        <w:t>Allocation Worker</w:t>
      </w:r>
      <w:r>
        <w:rPr>
          <w:rFonts w:ascii="PingFang SC" w:hAnsi="PingFang SC" w:eastAsia="PingFang SC"/>
          <w:b/>
          <w:color w:val="6F7E79"/>
          <w:sz w:val="21"/>
        </w:rPr>
        <w:t xml:space="preserve">  -&gt;  </w:t>
      </w:r>
      <w:r>
        <w:rPr>
          <w:rFonts w:ascii="PingFang SC" w:hAnsi="PingFang SC" w:eastAsia="PingFang SC"/>
          <w:b/>
          <w:color w:val="126B51"/>
          <w:sz w:val="21"/>
        </w:rPr>
        <w:t>Admin Frontend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6F7E79"/>
          <w:sz w:val="21"/>
        </w:rPr>
        <w:t>当前 MVP 的真实状态是：前端和后端 API 已经形成闭环，SQLite 保存演示数据与历史，Supabase Storage 可保存争议证据；Supabase Postgres 统一业务表是下一阶段工程化目标。</w:t>
      </w:r>
    </w:p>
    <w:p>
      <w:pPr>
        <w:pStyle w:val="Heading2"/>
        <w:keepNext/>
        <w:widowControl/>
        <w:spacing w:before="200" w:after="80"/>
      </w:pPr>
      <w:r>
        <w:rPr>
          <w:rFonts w:ascii="PingFang SC" w:hAnsi="PingFang SC" w:eastAsia="PingFang SC"/>
          <w:b/>
          <w:color w:val="000000"/>
          <w:sz w:val="25"/>
        </w:rPr>
        <w:t>结尾页</w:t>
      </w:r>
    </w:p>
    <w:p>
      <w:pPr>
        <w:widowControl/>
        <w:spacing w:after="160" w:line="300" w:lineRule="auto"/>
      </w:pPr>
      <w:r>
        <w:rPr>
          <w:rFonts w:ascii="PingFang SC" w:hAnsi="PingFang SC" w:eastAsia="PingFang SC"/>
          <w:color w:val="126B51"/>
          <w:sz w:val="28"/>
        </w:rPr>
        <w:t>Campus Commons 把校园里看不见的闲置 capacity，变成可发现、可组合、可公平分配、可追溯的共享价值。</w:t>
      </w:r>
    </w:p>
    <w:p>
      <w:pPr>
        <w:widowControl/>
        <w:spacing w:after="120" w:line="300" w:lineRule="auto"/>
      </w:pPr>
      <w:r>
        <w:rPr>
          <w:rFonts w:ascii="PingFang SC" w:hAnsi="PingFang SC" w:eastAsia="PingFang SC"/>
          <w:color w:val="16312B"/>
          <w:sz w:val="23"/>
        </w:rPr>
        <w:t>评委最终应该记住的不是一个资源列表，而是一条完整证据链：资源如何进入平台，需求如何变成方案，冲突如何被处理，公平如何被解释，价值如何被记录。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F7E79"/>
        <w:sz w:val="16"/>
      </w:rPr>
      <w:t xml:space="preserve">Campus Commons  |  Hackathon project overview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F7E79"/>
        <w:sz w:val="17"/>
      </w:rPr>
      <w:t>Campus Commons  项目说明与演示素材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color w:val="163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PingFang SC" w:hAnsi="PingFang SC" w:eastAsia="PingFang SC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SC" w:hAnsi="PingFang SC" w:eastAsia="PingFang SC"/>
      <w:color w:val="16312B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SC" w:hAnsi="PingFang SC" w:eastAsia="PingFang SC"/>
      <w:color w:val="16312B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SC" w:hAnsi="PingFang SC" w:eastAsia="PingFang SC"/>
      <w:color w:val="16312B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Commons 项目说明与演示素材</dc:title>
  <dc:subject>跨组织共享资源与公平分配平台的流程、技术细节和创新点</dc:subject>
  <dc:creator>Campus Commons Team</dc:creator>
  <cp:keywords>Campus Commons, resource sharing, fairness, mission allocation, dispute resolution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