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Enterprise Case Competition Overview</w:t>
      </w:r>
    </w:p>
    <w:p>
      <w:r>
        <w:t>This document summarizes the full presentation content, describing Enterprise Mobility’s</w:t>
      </w:r>
    </w:p>
    <w:p>
      <w:r>
        <w:t>strategic response to rising vehicle tariffs, the ECAT program design, financial implications,</w:t>
      </w:r>
    </w:p>
    <w:p>
      <w:r>
        <w:t>internal strategy, incentive model, risk mitigation, and key performance indicators.</w:t>
      </w:r>
    </w:p>
    <w:p>
      <w:r>
        <w:br w:type="page"/>
      </w:r>
    </w:p>
    <w:p>
      <w:pPr>
        <w:pStyle w:val="Heading1"/>
      </w:pPr>
      <w:r>
        <w:t>Enterprise Core Strengths</w:t>
      </w:r>
    </w:p>
    <w:p>
      <w:r>
        <w:t>Enterprise Mobility operates as a global technology-driven mobility company. Its core</w:t>
      </w:r>
    </w:p>
    <w:p>
      <w:r>
        <w:t>strengths position it to respond effectively to market shifts:</w:t>
      </w:r>
    </w:p>
    <w:p>
      <w:r>
        <w:t>• Technology Infrastructure – Enterprise uses a robust global booking, data, and fleet</w:t>
      </w:r>
    </w:p>
    <w:p>
      <w:r>
        <w:t>management platform capable of rapid integration and innovation.</w:t>
      </w:r>
    </w:p>
    <w:p>
      <w:r>
        <w:t>• Corporate Partnerships – Enterprise maintains strong relationships with Fortune 500 clients,</w:t>
      </w:r>
    </w:p>
    <w:p>
      <w:r>
        <w:t>providing an immediate user base for ECAT tiers.</w:t>
      </w:r>
    </w:p>
    <w:p>
      <w:r>
        <w:t>• Data Analytics &amp; CRM Scalability – Enterprise already collects rental, usage, and spend</w:t>
      </w:r>
    </w:p>
    <w:p>
      <w:r>
        <w:t>data, enabling dynamic pricing, point systems, and transparent cost communication.</w:t>
      </w:r>
    </w:p>
    <w:p>
      <w:r>
        <w:t>• Global Branch Footprint – Over 9,500 branches worldwide provide physical capacity to</w:t>
      </w:r>
    </w:p>
    <w:p>
      <w:r>
        <w:t>manage tier perks, fleet prioritization, and service upgrades.</w:t>
      </w:r>
    </w:p>
    <w:p>
      <w:r>
        <w:br w:type="page"/>
      </w:r>
    </w:p>
    <w:p>
      <w:pPr>
        <w:pStyle w:val="Heading1"/>
      </w:pPr>
      <w:r>
        <w:t>Economic Background</w:t>
      </w:r>
    </w:p>
    <w:p>
      <w:r>
        <w:t>Starting April 2025, imported passenger vehicles and light trucks face an additional 25% tariff.</w:t>
      </w:r>
    </w:p>
    <w:p>
      <w:r>
        <w:t>• The average cost increase per vehicle is estimated at $6,400.</w:t>
      </w:r>
    </w:p>
    <w:p>
      <w:r>
        <w:t>• MSRP across the industry has increased 2.12% from 2024 to 2025 even before tariffs.</w:t>
      </w:r>
    </w:p>
    <w:p>
      <w:r>
        <w:t>These changes increase Enterprise fleet acquisition costs and inevitably raise rental prices.</w:t>
      </w:r>
    </w:p>
    <w:p>
      <w:r>
        <w:br w:type="page"/>
      </w:r>
    </w:p>
    <w:p>
      <w:pPr>
        <w:pStyle w:val="Heading1"/>
      </w:pPr>
      <w:r>
        <w:t>Strategic Objective</w:t>
      </w:r>
    </w:p>
    <w:p>
      <w:r>
        <w:t>“Balancing profitability and preservation of strong client relationships amid rising vehicle costs</w:t>
      </w:r>
    </w:p>
    <w:p>
      <w:r>
        <w:t>and tariffs that result in higher rental rates.”</w:t>
      </w:r>
    </w:p>
    <w:p>
      <w:r>
        <w:t>The challenge is maintaining operational efficiency and financial stability while protecting</w:t>
      </w:r>
    </w:p>
    <w:p>
      <w:r>
        <w:t>customer loyalty and value perception.</w:t>
      </w:r>
    </w:p>
    <w:p>
      <w:r>
        <w:br w:type="page"/>
      </w:r>
    </w:p>
    <w:p>
      <w:pPr>
        <w:pStyle w:val="Heading1"/>
      </w:pPr>
      <w:r>
        <w:t>Internal Strategy – Transparency</w:t>
      </w:r>
    </w:p>
    <w:p>
      <w:r>
        <w:t>Transparency becomes the primary competitive advantage.</w:t>
      </w:r>
    </w:p>
    <w:p>
      <w:r>
        <w:t>• Consumers value transparency: 94% say they are more likely to stay loyal to a brand that is</w:t>
      </w:r>
    </w:p>
    <w:p>
      <w:r>
        <w:t>open about pricing and fees (Forbes).</w:t>
      </w:r>
    </w:p>
    <w:p>
      <w:r>
        <w:t>• Studies show consumers are willing to pay 5–10% more for a product that promises complete</w:t>
      </w:r>
    </w:p>
    <w:p>
      <w:r>
        <w:t>transparency (Business.com).</w:t>
      </w:r>
    </w:p>
    <w:p>
      <w:r>
        <w:t>Enterprise’s leadership reinforces this vision:</w:t>
      </w:r>
    </w:p>
    <w:p>
      <w:r>
        <w:t>“We’re working to not only evolve with the mobility industry, but to also help shape it.”</w:t>
      </w:r>
    </w:p>
    <w:p>
      <w:r>
        <w:t>— Chrissy Taylor, President &amp; CEO, Enterprise Mobility.</w:t>
      </w:r>
    </w:p>
    <w:p>
      <w:r>
        <w:t>The transparency strategy focuses on:</w:t>
      </w:r>
    </w:p>
    <w:p>
      <w:r>
        <w:t>• Clear communication about cost changes and tariff impact.</w:t>
      </w:r>
    </w:p>
    <w:p>
      <w:r>
        <w:t>• Data-supported justifications for price adjustments.</w:t>
      </w:r>
    </w:p>
    <w:p>
      <w:r>
        <w:t>• Alignment between client operational goals and Enterprise service delivery.</w:t>
      </w:r>
    </w:p>
    <w:p>
      <w:r>
        <w:br w:type="page"/>
      </w:r>
    </w:p>
    <w:p>
      <w:pPr>
        <w:pStyle w:val="Heading1"/>
      </w:pPr>
      <w:r>
        <w:t>Financial Analysis – Tariff Impact</w:t>
      </w:r>
    </w:p>
    <w:p>
      <w:r>
        <w:t>Enterprise Fleet Size and Additional Costs:</w:t>
      </w:r>
    </w:p>
    <w:p>
      <w:r>
        <w:t>• 2023: 1.55M</w:t>
      </w:r>
    </w:p>
    <w:p>
      <w:r>
        <w:t>• 2024: 1.594M (+$44.17M in additional pre-tariff costs)</w:t>
      </w:r>
    </w:p>
    <w:p>
      <w:r>
        <w:t>• 2025–2028 projections show yearly growth with added tariff impact.</w:t>
      </w:r>
    </w:p>
    <w:p>
      <w:r>
        <w:t>Average additional cost due to tariffs:</w:t>
      </w:r>
    </w:p>
    <w:p>
      <w:r>
        <w:t>• $256.16 million per year after tariffs.</w:t>
      </w:r>
    </w:p>
    <w:p>
      <w:r>
        <w:t>• Prior to tariffs, additional fleet acquisition costs averaged $45 million per year.</w:t>
      </w:r>
    </w:p>
    <w:p>
      <w:r>
        <w:t>Market Effect:</w:t>
      </w:r>
    </w:p>
    <w:p>
      <w:r>
        <w:t>Tariffs disrupt market equilibrium:</w:t>
      </w:r>
    </w:p>
    <w:p>
      <w:r>
        <w:t>• Higher daily rental prices.</w:t>
      </w:r>
    </w:p>
    <w:p>
      <w:r>
        <w:t>• Lower rental volumes.</w:t>
      </w:r>
    </w:p>
    <w:p>
      <w:r>
        <w:t>• Shift in supply curve, reducing quantity demanded.</w:t>
      </w:r>
    </w:p>
    <w:p>
      <w:r>
        <w:br w:type="page"/>
      </w:r>
    </w:p>
    <w:p>
      <w:pPr>
        <w:pStyle w:val="Heading1"/>
      </w:pPr>
      <w:r>
        <w:t>ECAT – Enterprise Corporate Alliance Tool</w:t>
      </w:r>
    </w:p>
    <w:p>
      <w:r>
        <w:t>ECAT is the strategic solution proposed to strengthen client relationships, build loyalty, and</w:t>
      </w:r>
    </w:p>
    <w:p>
      <w:r>
        <w:t>deliver transparency.</w:t>
      </w:r>
    </w:p>
    <w:p>
      <w:r>
        <w:t>What ECAT Represents:</w:t>
      </w:r>
    </w:p>
    <w:p>
      <w:r>
        <w:t>• Partnership – Personalized service that fosters trust and shared success.</w:t>
      </w:r>
    </w:p>
    <w:p>
      <w:r>
        <w:t>• Value – Clear and consistent operations that ensure confidence.</w:t>
      </w:r>
    </w:p>
    <w:p>
      <w:r>
        <w:t>• Reliability – Meaningful rewards, savings, and measurable ROI.</w:t>
      </w:r>
    </w:p>
    <w:p>
      <w:r>
        <w:t>Purpose of ECAT:</w:t>
      </w:r>
    </w:p>
    <w:p>
      <w:r>
        <w:t>• Maintain client loyalty despite rising costs.</w:t>
      </w:r>
    </w:p>
    <w:p>
      <w:r>
        <w:t>• Provide tiered benefits to corporate accounts.</w:t>
      </w:r>
    </w:p>
    <w:p>
      <w:r>
        <w:t>• Reinforce Enterprise’s brand as dependable, transparent, and aligned with client growth.</w:t>
      </w:r>
    </w:p>
    <w:p>
      <w:r>
        <w:br w:type="page"/>
      </w:r>
    </w:p>
    <w:p>
      <w:pPr>
        <w:pStyle w:val="Heading1"/>
      </w:pPr>
      <w:r>
        <w:t>Incentive Model</w:t>
      </w:r>
    </w:p>
    <w:p>
      <w:r>
        <w:t>The ECAT incentive model provides tiered benefits for corporate partners, improving loyalty</w:t>
      </w:r>
    </w:p>
    <w:p>
      <w:r>
        <w:t>through:</w:t>
      </w:r>
    </w:p>
    <w:p>
      <w:r>
        <w:t>• Transparent cost breakdowns.</w:t>
      </w:r>
    </w:p>
    <w:p>
      <w:r>
        <w:t>• Savings incentives based on usage volume.</w:t>
      </w:r>
    </w:p>
    <w:p>
      <w:r>
        <w:t>• Tiered perks (Silver, Gold, Platinum) with upgrades, delivery guarantees, and priority fleet</w:t>
      </w:r>
    </w:p>
    <w:p>
      <w:r>
        <w:t>access.</w:t>
      </w:r>
    </w:p>
    <w:p>
      <w:r>
        <w:t>• Data-backed recommendations for optimizing business travel spending.</w:t>
      </w:r>
    </w:p>
    <w:p>
      <w:r>
        <w:br w:type="page"/>
      </w:r>
    </w:p>
    <w:p>
      <w:pPr>
        <w:pStyle w:val="Heading1"/>
      </w:pPr>
      <w:r>
        <w:t>Risk Assessment &amp; Mitigation</w:t>
      </w:r>
    </w:p>
    <w:p>
      <w:r>
        <w:t>1. Client Pushback on Rate Increases</w:t>
      </w:r>
    </w:p>
    <w:p>
      <w:r>
        <w:t>Mitigation: Lead with transparency and demonstrate value beyond price.</w:t>
      </w:r>
    </w:p>
    <w:p>
      <w:r>
        <w:t>2. Competitors Undercutting Prices</w:t>
      </w:r>
    </w:p>
    <w:p>
      <w:r>
        <w:t>Mitigation: Emphasize Enterprise’s superior reliability, scale, and data-driven consistency.</w:t>
      </w:r>
    </w:p>
    <w:p>
      <w:r>
        <w:t>3. Decreased Usage from Cost-Sensitive Accounts</w:t>
      </w:r>
    </w:p>
    <w:p>
      <w:r>
        <w:t>Mitigation: Introduce flexible loyalty incentives and value-based tier structures.</w:t>
      </w:r>
    </w:p>
    <w:p>
      <w:r>
        <w:br w:type="page"/>
      </w:r>
    </w:p>
    <w:p>
      <w:pPr>
        <w:pStyle w:val="Heading1"/>
      </w:pPr>
      <w:r>
        <w:t>Key Performance Indicators (KPIs)</w:t>
      </w:r>
    </w:p>
    <w:p>
      <w:r>
        <w:t>KPIs designed to evaluate ECAT program success include:</w:t>
      </w:r>
    </w:p>
    <w:p>
      <w:r>
        <w:t>• Financial Performance</w:t>
      </w:r>
    </w:p>
    <w:p>
      <w:r>
        <w:t>– 90% fleet utilization rate.</w:t>
      </w:r>
    </w:p>
    <w:p>
      <w:r>
        <w:t>– +10% revenue per corporate client year-over-year.</w:t>
      </w:r>
    </w:p>
    <w:p>
      <w:r>
        <w:t>• Customer Loyalty &amp; Retention</w:t>
      </w:r>
    </w:p>
    <w:p>
      <w:r>
        <w:t>– 80% of corporate partners enrolled in rewards within one year.</w:t>
      </w:r>
    </w:p>
    <w:p>
      <w:r>
        <w:t>– +12% improved retention.</w:t>
      </w:r>
    </w:p>
    <w:p>
      <w:r>
        <w:t>– 25% Gold/Platinum clients by Year 2.</w:t>
      </w:r>
    </w:p>
    <w:p>
      <w:r>
        <w:t>• Operational Efficiency</w:t>
      </w:r>
    </w:p>
    <w:p>
      <w:r>
        <w:t>– 94% on-time vehicle delivery.</w:t>
      </w:r>
    </w:p>
    <w:p>
      <w:r>
        <w:t>– 24-hour resolution time for client concerns.</w:t>
      </w:r>
    </w:p>
    <w:p>
      <w:r>
        <w:t>– +100,000 monthly bookings attributed to ECAT usage.</w:t>
      </w:r>
    </w:p>
    <w:p>
      <w:r>
        <w:br w:type="page"/>
      </w:r>
    </w:p>
    <w:p>
      <w:pPr>
        <w:pStyle w:val="Heading1"/>
      </w:pPr>
      <w:r>
        <w:t>Conclusion</w:t>
      </w:r>
    </w:p>
    <w:p>
      <w:r>
        <w:t>The ECAT program provides a strategic, transparent, and value-centered response to the</w:t>
      </w:r>
    </w:p>
    <w:p>
      <w:r>
        <w:t>economic challenges created by rising tariffs and vehicle acquisition costs. By leveraging its</w:t>
      </w:r>
    </w:p>
    <w:p>
      <w:r>
        <w:t>strengths in technology, partnerships, and global scale, Enterprise can preserve client trust,</w:t>
      </w:r>
    </w:p>
    <w:p>
      <w:r>
        <w:t>maintain profitability, and reinforce long-term loyalty.</w:t>
      </w:r>
    </w:p>
    <w:p>
      <w:r>
        <w:t>This complete summary reflects all major ideas discussed in the case competition presentation.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