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0" w:type="dxa"/>
          <w:bottom w:w="500" w:type="dxa"/>
          <w:left w:w="500" w:type="dxa"/>
          <w:right w:w="500" w:type="dxa"/>
        </w:tblCellMar>
      </w:tblPr>
      <w:tblGrid>
        <w:gridCol w:w="9638"/>
      </w:tblGrid>
      <w:tr>
        <w:trPr>
          <w:trHeight w:val="5952" w:hRule="atLeast"/>
        </w:trPr>
        <w:tc>
          <w:tcPr>
            <w:tcW w:type="dxa" w:w="9638"/>
            <w:shd w:val="clear" w:color="auto" w:fill="12284C"/>
          </w:tcPr>
          <w:p>
            <w:pPr>
              <w:spacing w:after="560"/>
            </w:pPr>
            <w:r>
              <w:rPr>
                <w:b/>
                <w:color w:val="8FD1AA"/>
                <w:sz w:val="22"/>
              </w:rPr>
              <w:t>PROPUESTA DE INVERSIÓN</w:t>
            </w:r>
          </w:p>
          <w:p>
            <w:pPr>
              <w:spacing w:line="240" w:lineRule="auto" w:after="320"/>
            </w:pPr>
            <w:r>
              <w:rPr>
                <w:b/>
                <w:color w:val="FFFFFF"/>
                <w:sz w:val="56"/>
              </w:rPr>
              <w:t>Sistema integrado de venta y abastecimiento B2B para Argentina</w:t>
            </w:r>
          </w:p>
          <w:p>
            <w:pPr>
              <w:spacing w:after="800"/>
            </w:pPr>
            <w:r>
              <w:rPr>
                <w:color w:val="D6DEEC"/>
                <w:sz w:val="28"/>
              </w:rPr>
              <w:t>Fábricas, importadores, distribuidores y mayoristas conectados con los comercios.</w:t>
            </w:r>
          </w:p>
          <w:p>
            <w:r>
              <w:rPr>
                <w:color w:val="FFFFFF"/>
                <w:sz w:val="21"/>
              </w:rPr>
              <w:t>Fecha de elaboración: 20 de octubre de 2026</w:t>
            </w:r>
          </w:p>
          <w:p>
            <w:r>
              <w:rPr>
                <w:color w:val="B8C4D9"/>
                <w:sz w:val="19"/>
              </w:rPr>
              <w:t>Documento de trabajo · Base de negociación · Cifras en USD equivalentes de referencia</w:t>
            </w:r>
          </w:p>
        </w:tc>
      </w:tr>
    </w:tbl>
    <w:p>
      <w:pPr>
        <w:spacing w:after="280"/>
      </w:pPr>
    </w:p>
    <w:p>
      <w:pPr>
        <w:pStyle w:val="Heading2"/>
      </w:pPr>
      <w:r>
        <w:t>Estado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EDF5"/>
            <w:tcBorders>
              <w:left w:val="single" w:sz="24" w:color="12284C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spacing w:after="60"/>
            </w:pPr>
            <w:r>
              <w:rPr>
                <w:sz w:val="20"/>
              </w:rPr>
              <w:t>El proyecto se encuentra en etapa de definición y validación. Esta propuesta no acredita clientes pagos, contratos comerciales, ingresos existentes, propiedad intelectual verificada ni una plataforma terminada.</w:t>
            </w:r>
          </w:p>
          <w:p>
            <w:pPr>
              <w:keepNext w:val="0"/>
              <w:spacing w:after="60"/>
            </w:pPr>
            <w:r>
              <w:rPr>
                <w:sz w:val="20"/>
              </w:rPr>
              <w:t>Los precios, costos, captación, permanencia y resultados financieros son supuestos de trabajo. Deben reemplazarse por cotizaciones y evidencia comercial antes de cerrar una inversión.</w:t>
            </w:r>
          </w:p>
          <w:p>
            <w:pPr>
              <w:keepNext w:val="0"/>
              <w:spacing w:after="60"/>
            </w:pPr>
            <w:r>
              <w:rPr>
                <w:b/>
                <w:sz w:val="20"/>
              </w:rPr>
              <w:t xml:space="preserve">Este documento es una base de negociación. </w:t>
            </w:r>
            <w:r>
              <w:rPr>
                <w:sz w:val="20"/>
              </w:rPr>
              <w:t>No es un contrato, una oferta irrevocable ni una garantía de rendimiento.</w:t>
            </w:r>
          </w:p>
        </w:tc>
      </w:tr>
    </w:tbl>
    <w:p>
      <w:pPr>
        <w:keepNext w:val="0"/>
        <w:spacing w:after="40"/>
      </w:pPr>
    </w:p>
    <w:p>
      <w:pPr>
        <w:pStyle w:val="Heading3"/>
      </w:pPr>
      <w:r>
        <w:t>Contenido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10" w:type="dxa"/>
          <w:bottom w:w="10" w:type="dxa"/>
          <w:left w:w="60" w:type="dxa"/>
          <w:right w:w="60" w:type="dxa"/>
        </w:tblCellMar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1. Resumen ejecutivo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13. Resultados financieros base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2. El problema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14. Economía por unidad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3. La solución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15. Equilibrio y recuperación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4. Diferencial a validar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16. Retorno del socio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5. Modelo de negocio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17. Ejemplos de salida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6. Alcance del lanzamiento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18. Escenarios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7. Inversión inicial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19. Sensibilidad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8. Puesta en marcha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20. Plan comercial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9. Estructura mensual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21. Gobierno y derechos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10. Desembolsos e hitos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22. Riesgos y control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11. Supuestos financieros base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23. Aclaraciones finales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color w:val="5A6375"/>
                <w:sz w:val="18"/>
              </w:rPr>
              <w:t>12. Proyección comercial base</w:t>
            </w:r>
          </w:p>
        </w:tc>
        <w:tc>
          <w:tcPr>
            <w:tcW w:type="dxa" w:w="4819"/>
          </w:tcPr>
          <w:p/>
        </w:tc>
      </w:tr>
    </w:tbl>
    <w:p>
      <w:pPr>
        <w:pStyle w:val="Heading1"/>
        <w:pageBreakBefore/>
      </w:pPr>
      <w:r>
        <w:t>1. Resumen ejecutivo</w:t>
      </w:r>
    </w:p>
    <w:p>
      <w:r>
        <w:rPr>
          <w:i w:val="0"/>
        </w:rPr>
        <w:t>Proponemos desarrollar un sistema de ventas que conecte fábricas, importadores, distribuidores y mayoristas con los negocios que necesitan abastecerse.</w:t>
      </w:r>
    </w:p>
    <w:p>
      <w:pPr>
        <w:keepNext/>
      </w:pPr>
      <w:r>
        <w:rPr>
          <w:i w:val="0"/>
        </w:rPr>
        <w:t>La plataforma integrará:</w:t>
      </w:r>
    </w:p>
    <w:p>
      <w:pPr>
        <w:pStyle w:val="ListBullet"/>
        <w:keepNext/>
      </w:pPr>
      <w:r>
        <w:t>Publicación de productos y condiciones comerciales.</w:t>
      </w:r>
    </w:p>
    <w:p>
      <w:pPr>
        <w:pStyle w:val="ListBullet"/>
        <w:keepNext/>
      </w:pPr>
      <w:r>
        <w:t>Descubrimiento de proveedores.</w:t>
      </w:r>
    </w:p>
    <w:p>
      <w:pPr>
        <w:pStyle w:val="ListBullet"/>
        <w:keepNext/>
      </w:pPr>
      <w:r>
        <w:t>Atención y preparación de pedidos por WhatsApp con inteligencia artificial.</w:t>
      </w:r>
    </w:p>
    <w:p>
      <w:pPr>
        <w:pStyle w:val="ListBullet"/>
        <w:keepNext/>
      </w:pPr>
      <w:r>
        <w:t>Actualización de listas y reglas de rentabilidad.</w:t>
      </w:r>
    </w:p>
    <w:p>
      <w:pPr>
        <w:pStyle w:val="ListBullet"/>
        <w:keepNext/>
      </w:pPr>
      <w:r>
        <w:t>Confirmación de pedidos y pagos.</w:t>
      </w:r>
    </w:p>
    <w:p>
      <w:pPr>
        <w:pStyle w:val="ListBullet"/>
        <w:keepNext/>
      </w:pPr>
      <w:r>
        <w:t>Seguimiento de entregas.</w:t>
      </w:r>
    </w:p>
    <w:p>
      <w:pPr>
        <w:pStyle w:val="ListBullet"/>
        <w:keepNext w:val="0"/>
      </w:pPr>
      <w:r>
        <w:t>Historial y recompra.</w:t>
      </w:r>
    </w:p>
    <w:p>
      <w:r>
        <w:rPr>
          <w:i w:val="0"/>
        </w:rPr>
        <w:t>La web y WhatsApp serán formas de acceder al mismo sistema.</w:t>
      </w:r>
    </w:p>
    <w:p>
      <w:r>
        <w:rPr>
          <w:i w:val="0"/>
        </w:rPr>
        <w:t>El objetivo es ayudar al proveedor a atender mejor su cartera y generar nuevas ventas, y permitir que el comercio encuentre oferta relevante y compre con condiciones claras.</w:t>
      </w:r>
    </w:p>
    <w:p>
      <w:r>
        <w:rPr>
          <w:i w:val="0"/>
        </w:rPr>
        <w:t>Buscamos incorporar un socio inversor que aporte capital y acompañe el desarrollo comercial.</w:t>
      </w:r>
    </w:p>
    <w:p>
      <w:pPr>
        <w:pStyle w:val="Heading2"/>
      </w:pPr>
      <w:r>
        <w:t>Propuesta inicial para negociar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Propuesta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Capital total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230.000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Participación ilustrativa del inversor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30 %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Participación del equipo promotor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70 %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Desembolsos por hitos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60.000 · USD 70.000 · USD 100.000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Horizonte del modelo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Cinco años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Equilibrio operativo del caso base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Mes 19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Recuperación de los desembolsos del proyecto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Mes 35</w:t>
            </w:r>
          </w:p>
        </w:tc>
      </w:tr>
    </w:tbl>
    <w:p>
      <w:pPr>
        <w:spacing w:after="40"/>
      </w:pPr>
    </w:p>
    <w:p>
      <w:r>
        <w:rPr>
          <w:i w:val="0"/>
        </w:rPr>
        <w:t>Estos términos son negociables. El capital ingresa al vehículo societario del proyecto; no constituye un pago personal al promotor.</w:t>
      </w:r>
    </w:p>
    <w:p>
      <w:pPr>
        <w:pStyle w:val="Heading3"/>
      </w:pPr>
      <w:r>
        <w:t>Precio implícito de la negociación</w:t>
      </w:r>
    </w:p>
    <w:p>
      <w:pPr>
        <w:keepNext/>
      </w:pPr>
      <w:r>
        <w:rPr>
          <w:i w:val="0"/>
        </w:rPr>
        <w:t>La participación del 30 % por USD 230.000 implica aritméticamente: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Valuación pre-money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536.667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Valuación post-money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USD 766.667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375"/>
          <w:sz w:val="18"/>
        </w:rPr>
        <w:t>Estas cifras expresan el precio implícito de la negociación. No son una tasación ni una valuación respaldada por ingresos o comparables verificados.</w:t>
      </w:r>
    </w:p>
    <w:p>
      <w:pPr>
        <w:pStyle w:val="Heading1"/>
      </w:pPr>
      <w:r>
        <w:t>2. El problema</w:t>
      </w:r>
    </w:p>
    <w:p>
      <w:pPr>
        <w:keepNext/>
      </w:pPr>
      <w:r>
        <w:rPr>
          <w:i w:val="0"/>
        </w:rPr>
        <w:t>Una venta mayorista puede atravesar varios canales y tareas:</w:t>
      </w:r>
    </w:p>
    <w:p>
      <w:pPr>
        <w:pStyle w:val="ListBullet"/>
        <w:keepNext/>
      </w:pPr>
      <w:r>
        <w:t>El comercio consulta por WhatsApp.</w:t>
      </w:r>
    </w:p>
    <w:p>
      <w:pPr>
        <w:pStyle w:val="ListBullet"/>
        <w:keepNext/>
      </w:pPr>
      <w:r>
        <w:t>Alguien interpreta el pedido.</w:t>
      </w:r>
    </w:p>
    <w:p>
      <w:pPr>
        <w:pStyle w:val="ListBullet"/>
        <w:keepNext/>
      </w:pPr>
      <w:r>
        <w:t>Se busca el precio aplicable.</w:t>
      </w:r>
    </w:p>
    <w:p>
      <w:pPr>
        <w:pStyle w:val="ListBullet"/>
        <w:keepNext/>
      </w:pPr>
      <w:r>
        <w:t>Se comprueba disponibilidad.</w:t>
      </w:r>
    </w:p>
    <w:p>
      <w:pPr>
        <w:pStyle w:val="ListBullet"/>
        <w:keepNext/>
      </w:pPr>
      <w:r>
        <w:t>Se revisan mínimos y presentaciones.</w:t>
      </w:r>
    </w:p>
    <w:p>
      <w:pPr>
        <w:pStyle w:val="ListBullet"/>
        <w:keepNext/>
      </w:pPr>
      <w:r>
        <w:t>Se confirma el pedido.</w:t>
      </w:r>
    </w:p>
    <w:p>
      <w:pPr>
        <w:pStyle w:val="ListBullet"/>
        <w:keepNext/>
      </w:pPr>
      <w:r>
        <w:t>Se cobra.</w:t>
      </w:r>
    </w:p>
    <w:p>
      <w:pPr>
        <w:pStyle w:val="ListBullet"/>
        <w:keepNext/>
      </w:pPr>
      <w:r>
        <w:t>Se coordina entrega.</w:t>
      </w:r>
    </w:p>
    <w:p>
      <w:pPr>
        <w:pStyle w:val="ListBullet"/>
        <w:keepNext w:val="0"/>
      </w:pPr>
      <w:r>
        <w:t>Se resuelven diferencias.</w:t>
      </w:r>
    </w:p>
    <w:p>
      <w:r>
        <w:rPr>
          <w:i w:val="0"/>
        </w:rPr>
        <w:t>Cuando estos pasos están desconectados pueden aparecer demoras, errores, precios desactualizados y oportunidades sin seguimiento.</w:t>
      </w:r>
    </w:p>
    <w:p>
      <w:r>
        <w:rPr>
          <w:i w:val="0"/>
        </w:rPr>
        <w:t>Nuestra hipótesis es que existe disposición a pagar por resolver mejor este circuito.</w:t>
      </w:r>
    </w:p>
    <w:p>
      <w:r>
        <w:rPr>
          <w:i w:val="0"/>
        </w:rPr>
        <w:t>También buscamos resolver una necesidad del comprador: encontrar proveedores y productos que pueda comprar y recibir bajo condiciones adecuadas.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5EE"/>
            <w:tcBorders>
              <w:left w:val="single" w:sz="24" w:color="2E8B57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spacing w:after="60"/>
            </w:pPr>
            <w:r>
              <w:rPr>
                <w:sz w:val="20"/>
              </w:rPr>
              <w:t>La oportunidad no depende de afirmar que nadie lo hace. Depende de demostrar una mejora concreta para un grupo de empresas.</w:t>
            </w:r>
          </w:p>
        </w:tc>
      </w:tr>
    </w:tbl>
    <w:p>
      <w:pPr>
        <w:keepNext w:val="0"/>
        <w:spacing w:after="40"/>
      </w:pPr>
    </w:p>
    <w:p>
      <w:pPr>
        <w:pStyle w:val="Heading1"/>
      </w:pPr>
      <w:r>
        <w:t>3. La solución</w:t>
      </w:r>
    </w:p>
    <w:p>
      <w:r>
        <w:rPr>
          <w:i w:val="0"/>
        </w:rPr>
        <w:t>Un único sistema con cuatro capacidades.</w:t>
      </w:r>
    </w:p>
    <w:p>
      <w:pPr>
        <w:pStyle w:val="Heading2"/>
      </w:pPr>
      <w:r>
        <w:t>A. Oferta compartida</w:t>
      </w:r>
    </w:p>
    <w:p>
      <w:pPr>
        <w:keepNext/>
      </w:pPr>
      <w:r>
        <w:rPr>
          <w:i w:val="0"/>
        </w:rPr>
        <w:t>Proveedores identificados publican:</w:t>
      </w:r>
    </w:p>
    <w:p>
      <w:pPr>
        <w:pStyle w:val="ListBullet"/>
        <w:keepNext/>
      </w:pPr>
      <w:r>
        <w:t>Productos y variantes.</w:t>
      </w:r>
    </w:p>
    <w:p>
      <w:pPr>
        <w:pStyle w:val="ListBullet"/>
        <w:keepNext/>
      </w:pPr>
      <w:r>
        <w:t>Presentaciones y cantidades por caja.</w:t>
      </w:r>
    </w:p>
    <w:p>
      <w:pPr>
        <w:pStyle w:val="ListBullet"/>
        <w:keepNext/>
      </w:pPr>
      <w:r>
        <w:t>Precios y listas por cliente.</w:t>
      </w:r>
    </w:p>
    <w:p>
      <w:pPr>
        <w:pStyle w:val="ListBullet"/>
        <w:keepNext/>
      </w:pPr>
      <w:r>
        <w:t>Cantidades mínimas.</w:t>
      </w:r>
    </w:p>
    <w:p>
      <w:pPr>
        <w:pStyle w:val="ListBullet"/>
        <w:keepNext/>
      </w:pPr>
      <w:r>
        <w:t>Disponibilidad.</w:t>
      </w:r>
    </w:p>
    <w:p>
      <w:pPr>
        <w:pStyle w:val="ListBullet"/>
        <w:keepNext w:val="0"/>
      </w:pPr>
      <w:r>
        <w:t>Cobertura y condiciones de entrega.</w:t>
      </w:r>
    </w:p>
    <w:p>
      <w:pPr>
        <w:pStyle w:val="Heading2"/>
      </w:pPr>
      <w:r>
        <w:t>B. Asistente comercial</w:t>
      </w:r>
    </w:p>
    <w:p>
      <w:pPr>
        <w:keepNext/>
      </w:pPr>
      <w:r>
        <w:rPr>
          <w:i w:val="0"/>
        </w:rPr>
        <w:t>El comprador consulta o envía una lista por un canal habilitado. La inteligencia artificial ayuda a:</w:t>
      </w:r>
    </w:p>
    <w:p>
      <w:pPr>
        <w:pStyle w:val="ListBullet"/>
        <w:keepNext/>
      </w:pPr>
      <w:r>
        <w:t>Identificar productos y cantidades.</w:t>
      </w:r>
    </w:p>
    <w:p>
      <w:pPr>
        <w:pStyle w:val="ListBullet"/>
        <w:keepNext/>
      </w:pPr>
      <w:r>
        <w:t>Consultar información aprobada.</w:t>
      </w:r>
    </w:p>
    <w:p>
      <w:pPr>
        <w:pStyle w:val="ListBullet"/>
        <w:keepNext/>
      </w:pPr>
      <w:r>
        <w:t>Pedir aclaraciones.</w:t>
      </w:r>
    </w:p>
    <w:p>
      <w:pPr>
        <w:pStyle w:val="ListBullet"/>
        <w:keepNext/>
      </w:pPr>
      <w:r>
        <w:t>Preparar borradores de pedido.</w:t>
      </w:r>
    </w:p>
    <w:p>
      <w:pPr>
        <w:pStyle w:val="ListBullet"/>
        <w:keepNext w:val="0"/>
      </w:pPr>
      <w:r>
        <w:t>Derivar excepciones a una persona.</w:t>
      </w:r>
    </w:p>
    <w:p>
      <w:r>
        <w:rPr>
          <w:i w:val="0"/>
        </w:rPr>
        <w:t>Inicialmente, los pedidos tendrán supervisión y confirmación humana.</w:t>
      </w:r>
    </w:p>
    <w:p>
      <w:r>
        <w:rPr>
          <w:i w:val="0"/>
        </w:rPr>
        <w:t>La compatibilidad con el mismo número de WhatsApp y sus condiciones técnicas deberán verificarse antes de prometerlas.</w:t>
      </w:r>
    </w:p>
    <w:p>
      <w:pPr>
        <w:pStyle w:val="Heading2"/>
      </w:pPr>
      <w:r>
        <w:t>C. Reglas de precios y rentabilidad</w:t>
      </w:r>
    </w:p>
    <w:p>
      <w:pPr>
        <w:keepNext/>
      </w:pPr>
      <w:r>
        <w:rPr>
          <w:i w:val="0"/>
        </w:rPr>
        <w:t>El sistema ayuda a:</w:t>
      </w:r>
    </w:p>
    <w:p>
      <w:pPr>
        <w:pStyle w:val="ListBullet"/>
        <w:keepNext/>
      </w:pPr>
      <w:r>
        <w:t>Interpretar listas de formatos soportados.</w:t>
      </w:r>
    </w:p>
    <w:p>
      <w:pPr>
        <w:pStyle w:val="ListBullet"/>
        <w:keepNext/>
      </w:pPr>
      <w:r>
        <w:t>Proponer correspondencias entre productos.</w:t>
      </w:r>
    </w:p>
    <w:p>
      <w:pPr>
        <w:pStyle w:val="ListBullet"/>
        <w:keepNext/>
      </w:pPr>
      <w:r>
        <w:t>Aplicar reglas de precios.</w:t>
      </w:r>
    </w:p>
    <w:p>
      <w:pPr>
        <w:pStyle w:val="ListBullet"/>
        <w:keepNext/>
      </w:pPr>
      <w:r>
        <w:t>Detectar operaciones incompatibles con las condiciones definidas.</w:t>
      </w:r>
    </w:p>
    <w:p>
      <w:pPr>
        <w:pStyle w:val="ListBullet"/>
        <w:keepNext w:val="0"/>
      </w:pPr>
      <w:r>
        <w:t>Presentar cambios para aprobación.</w:t>
      </w:r>
    </w:p>
    <w:p>
      <w:pPr>
        <w:keepNext/>
      </w:pPr>
      <w:r>
        <w:rPr>
          <w:i w:val="0"/>
        </w:rPr>
        <w:t>El costo histórico no equivale automáticamente al costo actual de reposición. Tampoco se confundirá margen sobre venta con recargo sobre costo.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453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 costo 100</w:t>
            </w:r>
          </w:p>
        </w:tc>
        <w:tc>
          <w:tcPr>
            <w:tcW w:type="dxa" w:w="2268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Precio</w:t>
            </w:r>
          </w:p>
        </w:tc>
        <w:tc>
          <w:tcPr>
            <w:tcW w:type="dxa" w:w="2835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Margen sobre venta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Margen sobre venta del 25 %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133,33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25 %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Recargo del 25 % sobre costo</w:t>
            </w:r>
          </w:p>
        </w:tc>
        <w:tc>
          <w:tcPr>
            <w:tcW w:type="dxa" w:w="2268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125,00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20 %</w:t>
            </w:r>
          </w:p>
        </w:tc>
      </w:tr>
    </w:tbl>
    <w:p>
      <w:pPr>
        <w:spacing w:after="40"/>
      </w:pPr>
    </w:p>
    <w:p>
      <w:pPr>
        <w:pStyle w:val="Heading2"/>
      </w:pPr>
      <w:r>
        <w:t>D. Transacción y recompra</w:t>
      </w:r>
    </w:p>
    <w:p>
      <w:pPr>
        <w:keepNext/>
      </w:pPr>
      <w:r>
        <w:rPr>
          <w:i w:val="0"/>
        </w:rPr>
        <w:t>El comercio puede:</w:t>
      </w:r>
    </w:p>
    <w:p>
      <w:pPr>
        <w:pStyle w:val="ListBullet"/>
        <w:keepNext/>
      </w:pPr>
      <w:r>
        <w:t>Confirmar su pedido.</w:t>
      </w:r>
    </w:p>
    <w:p>
      <w:pPr>
        <w:pStyle w:val="ListBullet"/>
        <w:keepNext/>
      </w:pPr>
      <w:r>
        <w:t>Pagar dentro del circuito de la plataforma.</w:t>
      </w:r>
    </w:p>
    <w:p>
      <w:pPr>
        <w:pStyle w:val="ListBullet"/>
        <w:keepNext/>
      </w:pPr>
      <w:r>
        <w:t>Consultar estados.</w:t>
      </w:r>
    </w:p>
    <w:p>
      <w:pPr>
        <w:pStyle w:val="ListBullet"/>
        <w:keepNext/>
      </w:pPr>
      <w:r>
        <w:t>Reportar incidentes.</w:t>
      </w:r>
    </w:p>
    <w:p>
      <w:pPr>
        <w:pStyle w:val="ListBullet"/>
        <w:keepNext w:val="0"/>
      </w:pPr>
      <w:r>
        <w:t>Repetir compras anteriores.</w:t>
      </w:r>
    </w:p>
    <w:p>
      <w:r>
        <w:rPr>
          <w:i w:val="0"/>
        </w:rPr>
        <w:t>Cada proveedor conserva sus responsabilidades de venta y entrega bajo el contrato aprobado. Una compra a varios proveedores puede generar pedidos, facturas y entregas separados.</w:t>
      </w:r>
    </w:p>
    <w:p>
      <w:pPr>
        <w:pStyle w:val="Heading1"/>
      </w:pPr>
      <w:r>
        <w:t>4. Diferencial a validar</w:t>
      </w:r>
    </w:p>
    <w:p>
      <w:pPr>
        <w:keepNext/>
      </w:pPr>
      <w:r>
        <w:rPr>
          <w:i w:val="0"/>
        </w:rPr>
        <w:t>La propuesta integra herramientas para vender y una red para generar negocios. El valor se medirá en:</w:t>
      </w:r>
    </w:p>
    <w:p>
      <w:pPr>
        <w:pStyle w:val="ListBullet"/>
        <w:keepNext/>
      </w:pPr>
      <w:r>
        <w:t>Menor tiempo humano por pedido.</w:t>
      </w:r>
    </w:p>
    <w:p>
      <w:pPr>
        <w:pStyle w:val="ListBullet"/>
        <w:keepNext/>
      </w:pPr>
      <w:r>
        <w:t>Menos errores y correcciones.</w:t>
      </w:r>
    </w:p>
    <w:p>
      <w:pPr>
        <w:pStyle w:val="ListBullet"/>
        <w:keepNext/>
      </w:pPr>
      <w:r>
        <w:t>Precios y condiciones vigentes.</w:t>
      </w:r>
    </w:p>
    <w:p>
      <w:pPr>
        <w:pStyle w:val="ListBullet"/>
        <w:keepNext/>
      </w:pPr>
      <w:r>
        <w:t>Mayor proporción de consultas atendidas.</w:t>
      </w:r>
    </w:p>
    <w:p>
      <w:pPr>
        <w:pStyle w:val="ListBullet"/>
        <w:keepNext/>
      </w:pPr>
      <w:r>
        <w:t>Nuevas relaciones comerciales.</w:t>
      </w:r>
    </w:p>
    <w:p>
      <w:pPr>
        <w:pStyle w:val="ListBullet"/>
        <w:keepNext/>
      </w:pPr>
      <w:r>
        <w:t>Compras entregadas.</w:t>
      </w:r>
    </w:p>
    <w:p>
      <w:pPr>
        <w:pStyle w:val="ListBullet"/>
        <w:keepNext/>
      </w:pPr>
      <w:r>
        <w:t>Recompra.</w:t>
      </w:r>
    </w:p>
    <w:p>
      <w:pPr>
        <w:pStyle w:val="ListBullet"/>
        <w:keepNext w:val="0"/>
      </w:pPr>
      <w:r>
        <w:t>Contribución económica por cliente y operación.</w:t>
      </w:r>
    </w:p>
    <w:p>
      <w:r>
        <w:rPr>
          <w:i w:val="0"/>
        </w:rPr>
        <w:t>La IA por sí sola no constituye una ventaja duradera. La diferenciación deberá apoyarse en integraciones confiables, información comercial consistente, operación y resultados.</w:t>
      </w:r>
    </w:p>
    <w:p>
      <w:pPr>
        <w:spacing w:after="120"/>
      </w:pPr>
      <w:r>
        <w:rPr>
          <w:i/>
          <w:color w:val="5A6375"/>
          <w:sz w:val="18"/>
        </w:rPr>
        <w:t>No se afirma que estas funciones sean inéditas ni exclusivas de Argentina.</w:t>
      </w:r>
    </w:p>
    <w:p>
      <w:pPr>
        <w:pStyle w:val="Heading1"/>
      </w:pPr>
      <w:r>
        <w:t>5. Modelo de negocio</w:t>
      </w:r>
    </w:p>
    <w:p>
      <w:pPr>
        <w:keepNext/>
      </w:pPr>
      <w:r>
        <w:rPr>
          <w:i w:val="0"/>
        </w:rPr>
        <w:t>Se propone combinar dos fuentes de ingreso:</w:t>
      </w:r>
    </w:p>
    <w:p>
      <w:pPr>
        <w:pStyle w:val="ListBullet"/>
        <w:keepNext/>
      </w:pPr>
      <w:r>
        <w:rPr>
          <w:b/>
        </w:rPr>
        <w:t xml:space="preserve">A. Abono </w:t>
      </w:r>
      <w:r>
        <w:t>por herramientas comerciales.</w:t>
      </w:r>
    </w:p>
    <w:p>
      <w:pPr>
        <w:pStyle w:val="ListBullet"/>
        <w:keepNext w:val="0"/>
      </w:pPr>
      <w:r>
        <w:rPr>
          <w:b/>
        </w:rPr>
        <w:t xml:space="preserve">B. Comisión </w:t>
      </w:r>
      <w:r>
        <w:t>sobre operaciones elegibles originadas por la red.</w:t>
      </w:r>
    </w:p>
    <w:p>
      <w:pPr>
        <w:pStyle w:val="Heading2"/>
      </w:pPr>
      <w:r>
        <w:t>Precios iniciales a validar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Precio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Plan inicial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99 por mes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Plan comercial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199 por mes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Plan avanzado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349 por mes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Incorporación estándar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250 por única vez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Comisión de red base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6 % sobre volumen elegible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Comprador comercial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Acceso sin abono</w:t>
            </w:r>
          </w:p>
        </w:tc>
      </w:tr>
    </w:tbl>
    <w:p>
      <w:pPr>
        <w:spacing w:after="40"/>
      </w:pPr>
    </w:p>
    <w:p>
      <w:r>
        <w:rPr>
          <w:i w:val="0"/>
        </w:rPr>
        <w:t>Los planes deberán tener límites de uso y alcance definidos. La incorporación estándar no incluye integraciones ilimitadas.</w:t>
      </w:r>
    </w:p>
    <w:p>
      <w:pPr>
        <w:pStyle w:val="Heading3"/>
      </w:pPr>
      <w:r>
        <w:t>Cómo se traduce en el modelo base</w:t>
      </w:r>
    </w:p>
    <w:p>
      <w:pPr>
        <w:pStyle w:val="ListBullet"/>
        <w:keepNext/>
      </w:pPr>
      <w:r>
        <w:t>Ingreso medio neto de USD 180 mensuales por proveedor.</w:t>
      </w:r>
    </w:p>
    <w:p>
      <w:pPr>
        <w:pStyle w:val="ListBullet"/>
        <w:keepNext/>
      </w:pPr>
      <w:r>
        <w:t>El 70 % del volumen procesado resulta comisionable al 6 %.</w:t>
      </w:r>
    </w:p>
    <w:p>
      <w:pPr>
        <w:pStyle w:val="ListBullet"/>
        <w:keepNext/>
      </w:pPr>
      <w:r>
        <w:t>Por lo tanto, el ingreso efectivo por comisión equivale al 4,2 % del volumen total.</w:t>
      </w:r>
    </w:p>
    <w:p>
      <w:pPr>
        <w:pStyle w:val="ListBullet"/>
        <w:keepNext w:val="0"/>
      </w:pPr>
      <w:r>
        <w:t>No se presupone cobrar comisión sobre toda la cartera previa del proveedor.</w:t>
      </w:r>
    </w:p>
    <w:p>
      <w:pPr>
        <w:spacing w:after="120"/>
      </w:pPr>
      <w:r>
        <w:rPr>
          <w:i/>
          <w:color w:val="5A6375"/>
          <w:sz w:val="18"/>
        </w:rPr>
        <w:t>La aceptación del abono, la comisión y la atribución del 70 % deben comprobarse con clientes.</w:t>
      </w:r>
    </w:p>
    <w:p>
      <w:pPr>
        <w:pStyle w:val="Heading1"/>
      </w:pPr>
      <w:r>
        <w:t>6. Alcance del lanzamiento</w:t>
      </w:r>
    </w:p>
    <w:p>
      <w:pPr>
        <w:keepNext/>
      </w:pPr>
      <w:r>
        <w:rPr>
          <w:i w:val="0"/>
        </w:rPr>
        <w:t>El lanzamiento se concentra en un perímetro acotado y excluye explícitamente actividades de mayor riesgo: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No incluye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Un rubro.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Compra de inventario.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Una zona atendible.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Depósitos propios.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Proveedores con oferta disponible.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Crédito con capital de la plataforma.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Compradores comerciales identificados.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Billetera propia.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Atención supervisada.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Integraciones ilimitadas con sistemas administrativos.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Pagos mediante un proveedor adecuado.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Comercialización de información crediticia compartida.</w:t>
            </w:r>
          </w:p>
        </w:tc>
      </w:tr>
    </w:tbl>
    <w:p>
      <w:pPr>
        <w:spacing w:after="40"/>
      </w:pPr>
    </w:p>
    <w:p>
      <w:r>
        <w:rPr>
          <w:i w:val="0"/>
        </w:rPr>
        <w:t>Coronel Sur puede evaluarse como candidato al piloto si confirma disponibilidad. No se presenta como cliente contratado ni como activo del proyecto.</w:t>
      </w:r>
    </w:p>
    <w:p>
      <w:pPr>
        <w:pStyle w:val="Heading1"/>
      </w:pPr>
      <w:r>
        <w:t>7. Inversión inicial</w:t>
      </w:r>
    </w:p>
    <w:p>
      <w:pPr>
        <w:keepNext/>
      </w:pPr>
      <w:r>
        <w:rPr>
          <w:i w:val="0"/>
        </w:rPr>
        <w:t>Capital propuesto: USD 230.000. Construcción del presupuesto base: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3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Importe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Déficit acumulado máximo, incluyendo puesta en marcha (mes 18)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178.581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Colchón de planificación del 20 %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35.716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Reserva adicional de liquidez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10.000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Redondeo adicional (aproximado)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5.703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9"/>
              </w:rPr>
              <w:t>USD 230.000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i w:val="0"/>
          <w:color w:val="5A6375"/>
          <w:sz w:val="19"/>
        </w:rPr>
        <w:t>Gráfico 1. Uso del capital y desembolsos por hitos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capi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 w:val="0"/>
        </w:rPr>
        <w:t>Los fondos correspondientes a ventas de mercadería de los proveedores no se usarán como caja operativa de la compañía.</w:t>
      </w:r>
    </w:p>
    <w:p>
      <w:r>
        <w:rPr>
          <w:i w:val="0"/>
        </w:rPr>
        <w:t>El presupuesto no elimina el riesgo de necesitar ajustes. Los desembolsos estarán condicionados a hitos.</w:t>
      </w:r>
    </w:p>
    <w:p>
      <w:pPr>
        <w:pStyle w:val="Heading1"/>
      </w:pPr>
      <w:r>
        <w:t>8. Puesta en marcha</w:t>
      </w:r>
    </w:p>
    <w:p>
      <w:pPr>
        <w:keepNext/>
      </w:pPr>
      <w:r>
        <w:rPr>
          <w:i w:val="0"/>
        </w:rPr>
        <w:t>Presupuesto no recurrente: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3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35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Importe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Arquitectura, diseño y prototipo externo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6.000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Contratos, revisión fiscal y encuadre de pagos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5.000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Configuración inicial de pagos, canal y revisión de seguridad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4.000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Preparación de datos y puesta en marcha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3.000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35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9"/>
              </w:rPr>
              <w:t>USD 18.000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375"/>
          <w:sz w:val="18"/>
        </w:rPr>
        <w:t>Son provisiones presupuestarias, no cotizaciones recibidas. El desarrollo continuo está incluido en la estructura mensual y no debe sumarse nuevamente.</w:t>
      </w:r>
    </w:p>
    <w:p>
      <w:pPr>
        <w:pStyle w:val="Heading1"/>
      </w:pPr>
      <w:r>
        <w:t>9. Estructura mensual</w:t>
      </w:r>
    </w:p>
    <w:p>
      <w:pPr>
        <w:keepNext/>
      </w:pPr>
      <w:r>
        <w:rPr>
          <w:i w:val="0"/>
        </w:rPr>
        <w:t>Costo fijo mensual por período, en USD: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81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1928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Producto y tecnología</w:t>
            </w:r>
          </w:p>
        </w:tc>
        <w:tc>
          <w:tcPr>
            <w:tcW w:type="dxa" w:w="1928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Operación y gestión</w:t>
            </w:r>
          </w:p>
        </w:tc>
        <w:tc>
          <w:tcPr>
            <w:tcW w:type="dxa" w:w="2154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Infraestructura y administración</w:t>
            </w:r>
          </w:p>
        </w:tc>
        <w:tc>
          <w:tcPr>
            <w:tcW w:type="dxa" w:w="1814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Total mensual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Meses 1 a 3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6.000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1.500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1.500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9.000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Meses 4 a 12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7.000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3.000</w:t>
            </w:r>
          </w:p>
        </w:tc>
        <w:tc>
          <w:tcPr>
            <w:tcW w:type="dxa" w:w="2154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2.000</w:t>
            </w:r>
          </w:p>
        </w:tc>
        <w:tc>
          <w:tcPr>
            <w:tcW w:type="dxa" w:w="1814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12.000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Año 2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9.000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5.000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3.000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17.000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Año 3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12.000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8.000</w:t>
            </w:r>
          </w:p>
        </w:tc>
        <w:tc>
          <w:tcPr>
            <w:tcW w:type="dxa" w:w="2154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5.000</w:t>
            </w:r>
          </w:p>
        </w:tc>
        <w:tc>
          <w:tcPr>
            <w:tcW w:type="dxa" w:w="1814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25.000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Año 4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16.000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11.000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7.000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34.000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Año 5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20.000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15.000</w:t>
            </w:r>
          </w:p>
        </w:tc>
        <w:tc>
          <w:tcPr>
            <w:tcW w:type="dxa" w:w="2154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9.000</w:t>
            </w:r>
          </w:p>
        </w:tc>
        <w:tc>
          <w:tcPr>
            <w:tcW w:type="dxa" w:w="1814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44.000</w:t>
            </w:r>
          </w:p>
        </w:tc>
      </w:tr>
    </w:tbl>
    <w:p>
      <w:pPr>
        <w:spacing w:after="40"/>
      </w:pPr>
    </w:p>
    <w:p>
      <w:pPr>
        <w:pStyle w:val="ListBullet"/>
        <w:keepNext/>
      </w:pPr>
      <w:r>
        <w:t>Estos montos deben reemplazarse por remuneraciones, cargas y contratos reales.</w:t>
      </w:r>
    </w:p>
    <w:p>
      <w:pPr>
        <w:pStyle w:val="ListBullet"/>
        <w:keepNext/>
      </w:pPr>
      <w:r>
        <w:t>Incluyen dedicación de dirección y producto del promotor. No se presupone trabajo gratuito.</w:t>
      </w:r>
    </w:p>
    <w:p>
      <w:pPr>
        <w:pStyle w:val="ListBullet"/>
        <w:keepNext w:val="0"/>
      </w:pPr>
      <w:r>
        <w:t>Los costos incrementales de adquisición, implementación y servicio se modelan aparte. Si una tarea ya está cubierta por la estructura, se evita contar su costo dos veces.</w:t>
      </w:r>
    </w:p>
    <w:p>
      <w:pPr>
        <w:pStyle w:val="Heading1"/>
      </w:pPr>
      <w:r>
        <w:t>10. Desembolsos e hitos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Tramo</w:t>
            </w:r>
          </w:p>
        </w:tc>
        <w:tc>
          <w:tcPr>
            <w:tcW w:type="dxa" w:w="2041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896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Objetivos o condiciones propuestas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Tramo 1</w:t>
              <w:br/>
              <w:t>USD 60.000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Desde el inicio hasta el mes 3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Acuerdo societario. Inventario de activos y derechos. Entrevistas y elección de rubro. Definición de zona. Diseño del producto. MVP acotado.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Tramo 2</w:t>
              <w:br/>
              <w:t>USD 70.000</w:t>
            </w:r>
          </w:p>
        </w:tc>
        <w:tc>
          <w:tcPr>
            <w:tcW w:type="dxa" w:w="2041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Previsto al inicio del mes 4</w:t>
            </w:r>
          </w:p>
        </w:tc>
        <w:tc>
          <w:tcPr>
            <w:tcW w:type="dxa" w:w="5896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Entregables iniciales aceptados. Al menos tres compromisos de piloto. Fuentes comerciales autorizadas. Circuito de pedido y pago probado.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Tramo 3</w:t>
              <w:br/>
              <w:t>USD 100.000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Previsto al inicio del mes 10</w:t>
            </w:r>
          </w:p>
        </w:tc>
        <w:tc>
          <w:tcPr>
            <w:tcW w:type="dxa" w:w="589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20 proveedores pagos. 100 comercios activos. Información de recompra de cohortes maduras. Calidad operativa aceptable. Costos contrastados. Plan actualizado para alcanzar equilibrio.</w:t>
            </w:r>
          </w:p>
        </w:tc>
      </w:tr>
    </w:tbl>
    <w:p>
      <w:pPr>
        <w:spacing w:after="40"/>
      </w:pPr>
    </w:p>
    <w:p>
      <w:pPr>
        <w:pStyle w:val="ListBullet"/>
        <w:keepNext/>
      </w:pPr>
      <w:r>
        <w:t>Los criterios son hipótesis de gestión, no resultados obtenidos.</w:t>
      </w:r>
    </w:p>
    <w:p>
      <w:pPr>
        <w:pStyle w:val="ListBullet"/>
        <w:keepNext/>
      </w:pPr>
      <w:r>
        <w:t>La participación objetivo del 30 % corresponde al aporte total. Los derechos entre tramos y las consecuencias de no desembolsar deben establecerse en el contrato.</w:t>
      </w:r>
    </w:p>
    <w:p>
      <w:pPr>
        <w:pStyle w:val="ListBullet"/>
        <w:keepNext w:val="0"/>
      </w:pPr>
      <w:r>
        <w:t>No se presume un compromiso irrevocable de aportar los USD 230.000 sin cumplir condiciones.</w:t>
      </w:r>
    </w:p>
    <w:p>
      <w:pPr>
        <w:pStyle w:val="Heading1"/>
      </w:pPr>
      <w:r>
        <w:t>11. Supuestos financieros base</w:t>
      </w:r>
    </w:p>
    <w:p>
      <w:pPr>
        <w:keepNext/>
      </w:pPr>
      <w:r>
        <w:rPr>
          <w:i w:val="0"/>
        </w:rPr>
        <w:t>Todos los valores de esta sección son supuestos de planificación, no resultados obtenidos.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5102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Supuesto</w:t>
            </w:r>
          </w:p>
        </w:tc>
        <w:tc>
          <w:tcPr>
            <w:tcW w:type="dxa" w:w="453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Inicio comercial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Mes 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Abono medio por proveedor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180 mensuales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Costo incremental de servicio por proveedor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30 mensuales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Alta cobrada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250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Implementación incremental por alta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150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Costo de adquisición por proveedor activado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350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Costo de adquisición por comercio activado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25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Baja mensual de proveedores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2,5 %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Baja mensual de compradores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4 %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Pedidos por comprador activo al mes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Ticket neto de mercadería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180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Volumen comisionable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70 %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Comisión sobre volumen elegible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6 %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Costo de pagos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2 % sobre una base de 1,21 veces el volumen neto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Soporte incremental por pedido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0,60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Incidencias absorbidas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0,2 % del volumen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Subsidio de entrega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Cero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Provisión fiscal simplificada</w:t>
            </w:r>
          </w:p>
        </w:tc>
        <w:tc>
          <w:tcPr>
            <w:tcW w:type="dxa" w:w="4535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30 % del excedente operativo mensual positivo</w:t>
            </w:r>
          </w:p>
        </w:tc>
      </w:tr>
    </w:tbl>
    <w:p>
      <w:pPr>
        <w:spacing w:after="40"/>
      </w:pPr>
    </w:p>
    <w:p>
      <w:pPr>
        <w:pStyle w:val="Heading3"/>
      </w:pPr>
      <w:r>
        <w:t>Notas sobre los supuestos</w:t>
      </w:r>
    </w:p>
    <w:p>
      <w:pPr>
        <w:pStyle w:val="ListBullet"/>
        <w:keepNext/>
      </w:pPr>
      <w:r>
        <w:t>La provisión fiscal no es una tasa legal ni un cálculo completo de impuestos.</w:t>
      </w:r>
    </w:p>
    <w:p>
      <w:pPr>
        <w:pStyle w:val="ListBullet"/>
        <w:keepNext/>
      </w:pPr>
      <w:r>
        <w:t>El factor 1,21 de pagos es una relación ilustrativa entre bases, no una tasa fiscal aplicable universalmente.</w:t>
      </w:r>
    </w:p>
    <w:p>
      <w:pPr>
        <w:pStyle w:val="ListBullet"/>
        <w:keepNext/>
      </w:pPr>
      <w:r>
        <w:t>Los compradores deben ser cuentas únicas y deduplicadas.</w:t>
      </w:r>
    </w:p>
    <w:p>
      <w:pPr>
        <w:pStyle w:val="ListBullet"/>
        <w:keepNext/>
      </w:pPr>
      <w:r>
        <w:t>El modelo supone cuatro compradores activados por alta de proveedor más captación directa, sin solapamiento entre canales. Esa relación debe validarse.</w:t>
      </w:r>
    </w:p>
    <w:p>
      <w:pPr>
        <w:pStyle w:val="ListBullet"/>
        <w:keepNext/>
      </w:pPr>
      <w:r>
        <w:t>Durante el primer año se plantean 64 altas de proveedores, antes de bajas. En el mes 12 se requieren 12 altas nuevas; en el mes 60, 59 altas nuevas.</w:t>
      </w:r>
    </w:p>
    <w:p>
      <w:pPr>
        <w:pStyle w:val="ListBullet"/>
        <w:keepNext w:val="0"/>
      </w:pPr>
      <w:r>
        <w:t>La capacidad de venta e implementación necesaria para lograrlo todavía debe demostrarse.</w:t>
      </w:r>
    </w:p>
    <w:p>
      <w:pPr>
        <w:pStyle w:val="Heading1"/>
      </w:pPr>
      <w:r>
        <w:t>12. Proyección comercial base</w:t>
      </w:r>
    </w:p>
    <w:p>
      <w:pPr>
        <w:keepNext/>
      </w:pPr>
      <w:r>
        <w:rPr>
          <w:i w:val="0"/>
        </w:rPr>
        <w:t>Actividad comercial proyectada (supuestos de planificación):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2608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1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2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3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4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Proveedores activos al cierre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59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230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482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794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1.150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Comercios activos al cierre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370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1.310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2.583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4.061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5.663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8"/>
              </w:rPr>
              <w:t>Volumen anual de mercadería procesado (no es ingreso propio)</w:t>
            </w:r>
          </w:p>
        </w:tc>
        <w:tc>
          <w:tcPr>
            <w:tcW w:type="dxa" w:w="1406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8"/>
              </w:rPr>
              <w:t>USD 497.641</w:t>
            </w:r>
          </w:p>
        </w:tc>
        <w:tc>
          <w:tcPr>
            <w:tcW w:type="dxa" w:w="1406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8"/>
              </w:rPr>
              <w:t>USD 3.479.669</w:t>
            </w:r>
          </w:p>
        </w:tc>
        <w:tc>
          <w:tcPr>
            <w:tcW w:type="dxa" w:w="1406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8"/>
              </w:rPr>
              <w:t>USD 8.318.588</w:t>
            </w:r>
          </w:p>
        </w:tc>
        <w:tc>
          <w:tcPr>
            <w:tcW w:type="dxa" w:w="1406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8"/>
              </w:rPr>
              <w:t>USD 14.295.010</w:t>
            </w:r>
          </w:p>
        </w:tc>
        <w:tc>
          <w:tcPr>
            <w:tcW w:type="dxa" w:w="1406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8"/>
              </w:rPr>
              <w:t>USD 20.968.391</w:t>
            </w:r>
          </w:p>
        </w:tc>
      </w:tr>
    </w:tbl>
    <w:p>
      <w:pPr>
        <w:spacing w:after="40"/>
      </w:pPr>
    </w:p>
    <w:p>
      <w:pPr>
        <w:keepNext/>
      </w:pPr>
      <w:r>
        <w:rPr>
          <w:i w:val="0"/>
        </w:rPr>
        <w:t>Ingresos propios de la compañía: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2608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1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2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3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4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Ingresos por abonos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38.263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296.277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757.439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1.369.419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2.092.703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Ingresos por comisiones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20.901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146.146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349.381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600.390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880.672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Ingresos por altas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16.000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52.500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88.500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124.500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160.500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8"/>
              </w:rPr>
              <w:t>Ingresos propios totales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75.164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494.923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1.195.320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2.094.310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3.133.876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i w:val="0"/>
          <w:color w:val="5A6375"/>
          <w:sz w:val="19"/>
        </w:rPr>
        <w:t>Gráfico 2. Ingresos propios por año y por fuente (USD)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ingres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5EE"/>
            <w:tcBorders>
              <w:left w:val="single" w:sz="24" w:color="2E8B57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spacing w:after="60"/>
            </w:pPr>
            <w:r>
              <w:rPr>
                <w:b/>
                <w:sz w:val="20"/>
              </w:rPr>
              <w:t xml:space="preserve">El volumen de mercadería no es ingreso propio. </w:t>
            </w:r>
            <w:r>
              <w:rPr>
                <w:sz w:val="20"/>
              </w:rPr>
              <w:t>Es lo que los comercios compran a los proveedores; la compañía sólo factura abonos, altas y comisiones.</w:t>
            </w:r>
          </w:p>
          <w:p>
            <w:pPr>
              <w:keepNext w:val="0"/>
              <w:spacing w:after="60"/>
            </w:pPr>
            <w:r>
              <w:rPr>
                <w:b/>
                <w:sz w:val="20"/>
              </w:rPr>
              <w:t xml:space="preserve">Año 1 vs. ritmo anualizado. </w:t>
            </w:r>
            <w:r>
              <w:rPr>
                <w:sz w:val="20"/>
              </w:rPr>
              <w:t>El año 1 genera USD 75.164 de ingresos propios. El ritmo recurrente del mes 12 anualizado es aproximadamente USD 178.278: es otra métrica, no lo facturado durante el primer año.</w:t>
            </w:r>
          </w:p>
        </w:tc>
      </w:tr>
    </w:tbl>
    <w:p>
      <w:pPr>
        <w:keepNext w:val="0"/>
        <w:spacing w:after="40"/>
      </w:pPr>
    </w:p>
    <w:p>
      <w:pPr>
        <w:spacing w:after="120"/>
      </w:pPr>
      <w:r>
        <w:rPr>
          <w:i/>
          <w:color w:val="5A6375"/>
          <w:sz w:val="18"/>
        </w:rPr>
        <w:t>Puede haber diferencias de un dólar al sumar componentes redondeados. Se mantienen los totales del modelo.</w:t>
      </w:r>
    </w:p>
    <w:p>
      <w:pPr>
        <w:pStyle w:val="Heading1"/>
      </w:pPr>
      <w:r>
        <w:t>13. Resultados financieros base</w:t>
      </w:r>
    </w:p>
    <w:p>
      <w:pPr>
        <w:keepNext/>
      </w:pPr>
      <w:r>
        <w:rPr>
          <w:i w:val="0"/>
        </w:rPr>
        <w:t>Estado de resultados y flujo proyectados (supuestos de planificación):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2608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1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2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3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4</w:t>
            </w:r>
          </w:p>
        </w:tc>
        <w:tc>
          <w:tcPr>
            <w:tcW w:type="dxa" w:w="1406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7"/>
              </w:rPr>
              <w:t>Año 5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Ingresos propios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75.164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494.923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1.195.320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2.094.310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3.133.876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Costos variables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30.674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183.646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425.016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725.116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1.064.350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Contribución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44.490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311.277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770.304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1.369.194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2.069.525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Adquisición de proveedores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22.400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73.500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123.900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174.300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224.700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Adquisición de compradores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10.450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32.700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54.300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75.900</w:t>
            </w:r>
          </w:p>
        </w:tc>
        <w:tc>
          <w:tcPr>
            <w:tcW w:type="dxa" w:w="1406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97.500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Estructura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135.000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204.000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300.000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408.000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528.000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Resultado operativo antes de provisión fiscal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A23B2A"/>
                <w:sz w:val="18"/>
              </w:rPr>
              <w:t>-USD 123.360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1.077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292.104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710.994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8"/>
              </w:rPr>
              <w:t>USD 1.219.325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8"/>
              </w:rPr>
              <w:t>Provisión fiscal simplificada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0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11.489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87.631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213.298</w:t>
            </w:r>
          </w:p>
        </w:tc>
        <w:tc>
          <w:tcPr>
            <w:tcW w:type="dxa" w:w="1406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8"/>
              </w:rPr>
              <w:t>USD 365.798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8"/>
              </w:rPr>
              <w:t>Flujo neto anual antes de dividendos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color w:val="A23B2A"/>
                <w:sz w:val="18"/>
              </w:rPr>
              <w:t>-USD 123.360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color w:val="A23B2A"/>
                <w:sz w:val="18"/>
              </w:rPr>
              <w:t>-USD 10.412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204.473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497.696</w:t>
            </w:r>
          </w:p>
        </w:tc>
        <w:tc>
          <w:tcPr>
            <w:tcW w:type="dxa" w:w="1406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8"/>
              </w:rPr>
              <w:t>USD 853.528</w:t>
            </w:r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i w:val="0"/>
          <w:color w:val="5A6375"/>
          <w:sz w:val="19"/>
        </w:rPr>
        <w:t>Gráfico 3. Resultado operativo y flujo neto anual (USD)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Importante</w:t>
      </w:r>
    </w:p>
    <w:p>
      <w:pPr>
        <w:pStyle w:val="ListBullet"/>
        <w:keepNext/>
      </w:pPr>
      <w:r>
        <w:t>La provisión se aplica a meses con resultado positivo, sin compensar completamente los meses negativos. Por eso en el año 2 puede superar el resultado operativo anual. No representa un cálculo tributario real.</w:t>
      </w:r>
    </w:p>
    <w:p>
      <w:pPr>
        <w:pStyle w:val="ListBullet"/>
        <w:keepNext/>
      </w:pPr>
      <w:r>
        <w:t>La puesta en marcha de USD 18.000 se desembolsa en el mes 0 y no está incluida nuevamente en el flujo anual del año 1.</w:t>
      </w:r>
    </w:p>
    <w:p>
      <w:pPr>
        <w:pStyle w:val="ListBullet"/>
        <w:keepNext w:val="0"/>
      </w:pPr>
      <w:r>
        <w:t>Los valores están redondeados y los totales fueron calculados con cifras sin redondear.</w:t>
      </w:r>
    </w:p>
    <w:p>
      <w:pPr>
        <w:pStyle w:val="Heading1"/>
      </w:pPr>
      <w:r>
        <w:t>14. Economía por unidad</w:t>
      </w:r>
    </w:p>
    <w:p>
      <w:pPr>
        <w:pStyle w:val="Heading2"/>
      </w:pPr>
      <w:r>
        <w:t>Por proveedor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3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35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USD por mes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Ingreso mensual medio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180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Servicio incremental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-30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Contribución recurrente antes de captación y estructura</w:t>
            </w:r>
          </w:p>
        </w:tc>
        <w:tc>
          <w:tcPr>
            <w:tcW w:type="dxa" w:w="2835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9"/>
              </w:rPr>
              <w:t>150</w:t>
            </w:r>
          </w:p>
        </w:tc>
      </w:tr>
    </w:tbl>
    <w:p>
      <w:pPr>
        <w:spacing w:after="40"/>
      </w:pPr>
    </w:p>
    <w:p>
      <w:pPr>
        <w:pStyle w:val="Heading2"/>
      </w:pPr>
      <w:r>
        <w:t>Por pedido procesado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6803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35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USD por pedido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Ticket neto de mercadería (referencia, no es ingreso)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180,00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Comisión efectiva promedio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7,56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Procesamiento de pago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-4,356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Soporte</w:t>
            </w:r>
          </w:p>
        </w:tc>
        <w:tc>
          <w:tcPr>
            <w:tcW w:type="dxa" w:w="2835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-0,60</w:t>
            </w:r>
          </w:p>
        </w:tc>
      </w:tr>
      <w:tr>
        <w:trPr>
          <w:cantSplit/>
        </w:trPr>
        <w:tc>
          <w:tcPr>
            <w:tcW w:type="dxa" w:w="6803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Incidencias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-0,36</w:t>
            </w:r>
          </w:p>
        </w:tc>
      </w:tr>
      <w:tr>
        <w:trPr>
          <w:cantSplit/>
        </w:trPr>
        <w:tc>
          <w:tcPr>
            <w:tcW w:type="dxa" w:w="6803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Contribución por pedido</w:t>
            </w:r>
          </w:p>
        </w:tc>
        <w:tc>
          <w:tcPr>
            <w:tcW w:type="dxa" w:w="2835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b/>
                <w:sz w:val="19"/>
              </w:rPr>
              <w:t>2,244</w:t>
            </w:r>
          </w:p>
        </w:tc>
      </w:tr>
    </w:tbl>
    <w:p>
      <w:pPr>
        <w:spacing w:after="40"/>
      </w:pPr>
    </w:p>
    <w:p>
      <w:pPr>
        <w:pStyle w:val="ListBullet"/>
        <w:keepNext/>
      </w:pPr>
      <w:r>
        <w:t>La contribución por pedido es anterior a captación y estructura.</w:t>
      </w:r>
    </w:p>
    <w:p>
      <w:pPr>
        <w:pStyle w:val="ListBullet"/>
        <w:keepNext w:val="0"/>
      </w:pPr>
      <w:r>
        <w:t>El abono y la comisión pagan valores diferentes. Su aceptación conjunta todavía debe probarse.</w:t>
      </w:r>
    </w:p>
    <w:p>
      <w:pPr>
        <w:pStyle w:val="Heading1"/>
      </w:pPr>
      <w:r>
        <w:t>15. Equilibrio y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49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198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Caso base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Equilibrio operativo</w:t>
            </w:r>
          </w:p>
        </w:tc>
        <w:tc>
          <w:tcPr>
            <w:tcW w:type="dxa" w:w="549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Primer mes de al menos tres resultados operativos mensuales no negativos consecutivos, después de costos variables, estructura y adquisición.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Mes 19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Recuperación del proyecto</w:t>
            </w:r>
          </w:p>
        </w:tc>
        <w:tc>
          <w:tcPr>
            <w:tcW w:type="dxa" w:w="549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Momento en que el flujo acumulado, incluida puesta en marcha, vuelve a cero.</w:t>
            </w:r>
          </w:p>
        </w:tc>
        <w:tc>
          <w:tcPr>
            <w:tcW w:type="dxa" w:w="198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Mes 35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Retorno del inversor</w:t>
            </w:r>
          </w:p>
        </w:tc>
        <w:tc>
          <w:tcPr>
            <w:tcW w:type="dxa" w:w="549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Depende de aportes, participación, dividendos, dilución y eventual venta de acciones.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No equivale al mes 35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AF5EE"/>
            <w:tcBorders>
              <w:left w:val="single" w:sz="24" w:color="2E8B57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spacing w:after="60"/>
            </w:pPr>
            <w:r>
              <w:rPr>
                <w:sz w:val="20"/>
              </w:rPr>
              <w:t>La recuperación del proyecto y el retorno personal del inversor son métricas distintas. La primera mide la caja de la compañía; la segunda, lo que efectivamente cobra el socio.</w:t>
            </w:r>
          </w:p>
        </w:tc>
      </w:tr>
    </w:tbl>
    <w:p>
      <w:pPr>
        <w:keepNext w:val="0"/>
        <w:spacing w:after="40"/>
      </w:pPr>
    </w:p>
    <w:p>
      <w:pPr>
        <w:pStyle w:val="Heading1"/>
      </w:pPr>
      <w:r>
        <w:t>16. Retorno del socio</w:t>
      </w:r>
    </w:p>
    <w:p>
      <w:pPr>
        <w:pStyle w:val="Heading2"/>
      </w:pPr>
      <w:r>
        <w:t>Ejemplo de condiciones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5102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Aporte total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230.000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Participación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30 %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Dilución posterior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Sin dilución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Distribución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50 % del flujo positivo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Inicio de distribuciones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No antes del mes 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Requisito previo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Recuperado el déficit acumulado del proyecto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Caja mínima posterior a distribución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USD 50.000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Marco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Sujeta a utilidades legalmente disponibles y aprobación societaria</w:t>
            </w:r>
          </w:p>
        </w:tc>
      </w:tr>
    </w:tbl>
    <w:p>
      <w:pPr>
        <w:spacing w:after="40"/>
      </w:pPr>
    </w:p>
    <w:p>
      <w:pPr>
        <w:pStyle w:val="Heading2"/>
      </w:pPr>
      <w:r>
        <w:t>Resultado base a cinco años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53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102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Dividendos recibidos por el socio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≈ USD 211.298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Diferencia frente al aporte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≈ USD 18.702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Recuperación completa sólo por dividendos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No se alcanza en 60 meses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Participación conservada</w:t>
            </w:r>
          </w:p>
        </w:tc>
        <w:tc>
          <w:tcPr>
            <w:tcW w:type="dxa" w:w="51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30 %, si no hubo venta ni dilución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Valor de esa participación</w:t>
            </w:r>
          </w:p>
        </w:tc>
        <w:tc>
          <w:tcPr>
            <w:tcW w:type="dxa" w:w="510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No estimado ni garantizado</w:t>
            </w:r>
          </w:p>
        </w:tc>
      </w:tr>
    </w:tbl>
    <w:p>
      <w:pPr>
        <w:spacing w:after="40"/>
      </w:pPr>
    </w:p>
    <w:p>
      <w:r>
        <w:rPr>
          <w:i w:val="0"/>
        </w:rPr>
        <w:t>El inversor mantiene un activo societario. No corresponde tratar el monto todavía no cobrado por dividendos como pérdida económica definitiva, ni asignar valor garantizado a sus acciones.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EDF5"/>
            <w:tcBorders>
              <w:left w:val="single" w:sz="24" w:color="12284C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 w:val="0"/>
              <w:spacing w:after="60"/>
            </w:pPr>
            <w:r>
              <w:rPr>
                <w:sz w:val="20"/>
              </w:rPr>
              <w:t>La tesis con estos términos incluye una posible liquidez futura. Si el inversor busca devolución rápida en efectivo, debe negociarse otra estructura o descartarse la inversión.</w:t>
            </w:r>
          </w:p>
        </w:tc>
      </w:tr>
    </w:tbl>
    <w:p>
      <w:pPr>
        <w:keepNext w:val="0"/>
        <w:spacing w:after="40"/>
      </w:pPr>
    </w:p>
    <w:p>
      <w:pPr>
        <w:pStyle w:val="Heading1"/>
        <w:pageBreakBefore/>
      </w:pPr>
      <w:r>
        <w:t>17. Ejemplos de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10" w:type="dxa"/>
          <w:bottom w:w="110" w:type="dxa"/>
          <w:left w:w="180" w:type="dxa"/>
          <w:right w:w="160" w:type="dxa"/>
        </w:tblCellMar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E8EDF5"/>
            <w:tcBorders>
              <w:left w:val="single" w:sz="24" w:color="12284C"/>
              <w:top w:val="nil" w:sz="0" w:color="FFFFFF"/>
              <w:bottom w:val="nil" w:sz="0" w:color="FFFFFF"/>
              <w:right w:val="nil" w:sz="0" w:color="FFFFFF"/>
            </w:tcBorders>
          </w:tcPr>
          <w:p>
            <w:pPr>
              <w:keepNext/>
              <w:spacing w:after="60"/>
            </w:pPr>
            <w:r>
              <w:rPr>
                <w:b/>
                <w:sz w:val="20"/>
              </w:rPr>
              <w:t xml:space="preserve">Estos valores NO son valuaciones estimadas. </w:t>
            </w:r>
            <w:r>
              <w:rPr>
                <w:sz w:val="20"/>
              </w:rPr>
              <w:t>Suponen venta al final del año 5, sin dilución, con valor neto para el capital accionario y caja ya incluida. No se suma nuevamente la caja. No incluyen costos ni impuestos personales de salida.</w:t>
            </w:r>
          </w:p>
        </w:tc>
      </w:tr>
    </w:tbl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351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4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Escenario A</w:t>
            </w:r>
          </w:p>
        </w:tc>
        <w:tc>
          <w:tcPr>
            <w:tcW w:type="dxa" w:w="204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Escenario B</w:t>
            </w:r>
          </w:p>
        </w:tc>
        <w:tc>
          <w:tcPr>
            <w:tcW w:type="dxa" w:w="204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Escenario C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Valor accionario hipotético de la compañía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1.000.000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2.000.000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4.000.000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Cobro del socio por el 30 %</w:t>
            </w:r>
          </w:p>
        </w:tc>
        <w:tc>
          <w:tcPr>
            <w:tcW w:type="dxa" w:w="204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300.000</w:t>
            </w:r>
          </w:p>
        </w:tc>
        <w:tc>
          <w:tcPr>
            <w:tcW w:type="dxa" w:w="204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600.000</w:t>
            </w:r>
          </w:p>
        </w:tc>
        <w:tc>
          <w:tcPr>
            <w:tcW w:type="dxa" w:w="204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1.200.000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Dividendos previos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211.298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211.298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211.298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Cobros totales</w:t>
            </w:r>
          </w:p>
        </w:tc>
        <w:tc>
          <w:tcPr>
            <w:tcW w:type="dxa" w:w="2041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USD 511.298</w:t>
            </w:r>
          </w:p>
        </w:tc>
        <w:tc>
          <w:tcPr>
            <w:tcW w:type="dxa" w:w="2041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USD 811.298</w:t>
            </w:r>
          </w:p>
        </w:tc>
        <w:tc>
          <w:tcPr>
            <w:tcW w:type="dxa" w:w="2041"/>
            <w:vAlign w:val="center"/>
            <w:shd w:val="clear" w:color="auto" w:fill="EAF5EE"/>
            <w:tcBorders>
              <w:top w:val="single" w:sz="10" w:color="2E8B57"/>
            </w:tcBorders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USD 1.411.298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Cobros sobre aporte (no es rendimiento anual)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≈ 2,22 veces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≈ 3,53 veces</w:t>
            </w:r>
          </w:p>
        </w:tc>
        <w:tc>
          <w:tcPr>
            <w:tcW w:type="dxa" w:w="204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≈ 6,14 veces</w:t>
            </w:r>
          </w:p>
        </w:tc>
      </w:tr>
    </w:tbl>
    <w:p>
      <w:pPr>
        <w:spacing w:after="40"/>
      </w:pPr>
    </w:p>
    <w:p>
      <w:r>
        <w:rPr>
          <w:i w:val="0"/>
        </w:rPr>
        <w:t>Estos múltiplos no son rendimientos anuales. Puede no existir comprador o el valor de las acciones puede ser inferior. La proyección operativa central no depende de una salida.</w:t>
      </w:r>
    </w:p>
    <w:p>
      <w:pPr>
        <w:pStyle w:val="Heading1"/>
      </w:pPr>
      <w:r>
        <w:t>18. Escenarios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531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00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Supuestos</w:t>
            </w:r>
          </w:p>
        </w:tc>
        <w:tc>
          <w:tcPr>
            <w:tcW w:type="dxa" w:w="181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Capital teórico</w:t>
            </w:r>
          </w:p>
        </w:tc>
        <w:tc>
          <w:tcPr>
            <w:tcW w:type="dxa" w:w="164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Equilibrio operativo</w:t>
            </w:r>
          </w:p>
        </w:tc>
        <w:tc>
          <w:tcPr>
            <w:tcW w:type="dxa" w:w="1644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Recuperación del proyecto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Conservador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Menor captación y precio, más bajas y costos superiores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≈ USD 940.000 (ver nota)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No dentro de 60 meses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No dentro de 60 meses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Base</w:t>
            </w:r>
          </w:p>
        </w:tc>
        <w:tc>
          <w:tcPr>
            <w:tcW w:type="dxa" w:w="300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Supuestos de la sección 11</w:t>
            </w:r>
          </w:p>
        </w:tc>
        <w:tc>
          <w:tcPr>
            <w:tcW w:type="dxa" w:w="181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USD 230.000</w:t>
            </w:r>
          </w:p>
        </w:tc>
        <w:tc>
          <w:tcPr>
            <w:tcW w:type="dxa" w:w="164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Mes 19</w:t>
            </w:r>
          </w:p>
        </w:tc>
        <w:tc>
          <w:tcPr>
            <w:tcW w:type="dxa" w:w="1644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Mes 35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Expansión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Mayor captación, mejor permanencia y mejores condiciones económicas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USD 180.000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Mes 15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Mes 24</w:t>
            </w:r>
          </w:p>
        </w:tc>
      </w:tr>
    </w:tbl>
    <w:p>
      <w:pPr>
        <w:spacing w:after="40"/>
      </w:pPr>
    </w:p>
    <w:p>
      <w:pPr>
        <w:pStyle w:val="Heading3"/>
      </w:pPr>
      <w:r>
        <w:t>Sobre el escenario conservador</w:t>
      </w:r>
    </w:p>
    <w:p>
      <w:pPr>
        <w:pStyle w:val="ListBullet"/>
        <w:keepNext/>
      </w:pPr>
      <w:r>
        <w:t>Si se ejecutara sin corregir todo el plan, el capital teórico con reservas rondaría USD 940.000.</w:t>
      </w:r>
    </w:p>
    <w:p>
      <w:pPr>
        <w:pStyle w:val="ListBullet"/>
        <w:keepNext/>
      </w:pPr>
      <w:r>
        <w:t>Con los USD 230.000 propuestos, agotaría caja aproximadamente en el mes 18.</w:t>
      </w:r>
    </w:p>
    <w:p>
      <w:pPr>
        <w:pStyle w:val="ListBullet"/>
        <w:keepNext w:val="0"/>
      </w:pPr>
      <w:r>
        <w:t>Ese monto NO es una recomendación de inversión adicional ni una obligación del socio. Corresponde detener o rediseñar antes.</w:t>
      </w:r>
    </w:p>
    <w:p>
      <w:pPr>
        <w:spacing w:after="120"/>
      </w:pPr>
      <w:r>
        <w:rPr>
          <w:i/>
          <w:color w:val="5A6375"/>
          <w:sz w:val="18"/>
        </w:rPr>
        <w:t>No se asignan probabilidades a los escenarios. El caso expansión no se obtiene simplemente por aportar más capital: requiere que sus supuestos se cumplan.</w:t>
      </w:r>
    </w:p>
    <w:p>
      <w:pPr>
        <w:pStyle w:val="Heading1"/>
      </w:pPr>
      <w:r>
        <w:t>19. Sensibilidad</w:t>
      </w:r>
    </w:p>
    <w:p>
      <w:pPr>
        <w:keepNext/>
      </w:pPr>
      <w:r>
        <w:rPr>
          <w:i w:val="0"/>
        </w:rPr>
        <w:t>Cambiar una variable a la vez respecto del caso base produce: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30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Variable modificada</w:t>
            </w:r>
          </w:p>
        </w:tc>
        <w:tc>
          <w:tcPr>
            <w:tcW w:type="dxa" w:w="1928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Capital</w:t>
            </w:r>
          </w:p>
        </w:tc>
        <w:tc>
          <w:tcPr>
            <w:tcW w:type="dxa" w:w="170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Equilibrio</w:t>
            </w:r>
          </w:p>
        </w:tc>
        <w:tc>
          <w:tcPr>
            <w:tcW w:type="dxa" w:w="170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Recupero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Caso base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USD 230.000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Mes 19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sz w:val="19"/>
              </w:rPr>
              <w:t>Mes 35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Abono medio de USD 140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280.000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27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44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CAC proveedor de USD 700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310.000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22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42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Comisión del 4 % sobre volumen elegible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260.000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21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40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Sólo 40 % del volumen comisionable</w:t>
            </w:r>
          </w:p>
        </w:tc>
        <w:tc>
          <w:tcPr>
            <w:tcW w:type="dxa" w:w="1928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280.000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22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42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PSP del 3 % sobre la base procesada</w:t>
            </w:r>
          </w:p>
        </w:tc>
        <w:tc>
          <w:tcPr>
            <w:tcW w:type="dxa" w:w="1928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USD 260.000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21</w:t>
            </w:r>
          </w:p>
        </w:tc>
        <w:tc>
          <w:tcPr>
            <w:tcW w:type="dxa" w:w="170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Mes 39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Baja de proveedores del 4 % mensual</w:t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USD 240.000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Mes 20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Mes 37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  <w:color w:val="5A6375"/>
          <w:sz w:val="18"/>
        </w:rPr>
        <w:t>Estos resultados son sensibilidades del modelo, no nuevas cotizaciones ni compromisos de capital.</w:t>
      </w:r>
    </w:p>
    <w:p>
      <w:pPr>
        <w:pStyle w:val="Heading1"/>
      </w:pPr>
      <w:r>
        <w:t>20. Plan comercial</w:t>
      </w:r>
    </w:p>
    <w:p>
      <w:r>
        <w:rPr>
          <w:i w:val="0"/>
        </w:rPr>
        <w:t>Primero se elige una categoría y una zona con acceso verificable a proveedores y compradores.</w:t>
      </w:r>
    </w:p>
    <w:p>
      <w:pPr>
        <w:pStyle w:val="Heading3"/>
      </w:pPr>
      <w:r>
        <w:t>Canales a probar</w:t>
      </w:r>
    </w:p>
    <w:p>
      <w:pPr>
        <w:pStyle w:val="ListBullet"/>
        <w:keepNext/>
      </w:pPr>
      <w:r>
        <w:t>Venta directa del equipo promotor.</w:t>
      </w:r>
    </w:p>
    <w:p>
      <w:pPr>
        <w:pStyle w:val="ListBullet"/>
        <w:keepNext/>
      </w:pPr>
      <w:r>
        <w:t>Referidos.</w:t>
      </w:r>
    </w:p>
    <w:p>
      <w:pPr>
        <w:pStyle w:val="ListBullet"/>
        <w:keepNext/>
      </w:pPr>
      <w:r>
        <w:t>Cámaras sectoriales.</w:t>
      </w:r>
    </w:p>
    <w:p>
      <w:pPr>
        <w:pStyle w:val="ListBullet"/>
        <w:keepNext/>
      </w:pPr>
      <w:r>
        <w:t>Socios tecnológicos.</w:t>
      </w:r>
    </w:p>
    <w:p>
      <w:pPr>
        <w:pStyle w:val="ListBullet"/>
        <w:keepNext/>
      </w:pPr>
      <w:r>
        <w:t>Proveedores que inviten a compradores bajo permisos claros.</w:t>
      </w:r>
    </w:p>
    <w:p>
      <w:pPr>
        <w:pStyle w:val="ListBullet"/>
        <w:keepNext w:val="0"/>
      </w:pPr>
      <w:r>
        <w:t>Captación directa de comercios.</w:t>
      </w:r>
    </w:p>
    <w:p>
      <w:r>
        <w:rPr>
          <w:i w:val="0"/>
        </w:rPr>
        <w:t>Cada canal debe registrar costos, activación y permanencia.</w:t>
      </w:r>
    </w:p>
    <w:p>
      <w:r>
        <w:rPr>
          <w:i w:val="0"/>
        </w:rPr>
        <w:t>No se considera validado el marketplace si únicamente se digitaliza la cartera existente. También se medirán nuevas relaciones comerciales y compras entre proveedores y comercios.</w:t>
      </w:r>
    </w:p>
    <w:p>
      <w:pPr>
        <w:pStyle w:val="Heading3"/>
      </w:pPr>
      <w:r>
        <w:t>Indicadores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819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Proveedores pagos activos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Cumplimiento de entrega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Comercios con pedidos entregados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Contribución por operación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Oferta relevante y entregable</w:t>
            </w:r>
          </w:p>
        </w:tc>
        <w:tc>
          <w:tcPr>
            <w:tcW w:type="dxa" w:w="4819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CAC de ambos lados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Recompra en ventanas maduras</w:t>
            </w:r>
          </w:p>
        </w:tc>
        <w:tc>
          <w:tcPr>
            <w:tcW w:type="dxa" w:w="4819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Costo de soporte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Exactitud de precios</w:t>
            </w:r>
          </w:p>
        </w:tc>
        <w:tc>
          <w:tcPr>
            <w:tcW w:type="dxa" w:w="4819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Caja y concentración comercial</w:t>
            </w:r>
          </w:p>
        </w:tc>
      </w:tr>
    </w:tbl>
    <w:p>
      <w:pPr>
        <w:spacing w:after="40"/>
      </w:pPr>
    </w:p>
    <w:p>
      <w:pPr>
        <w:pStyle w:val="Heading1"/>
      </w:pPr>
      <w:r>
        <w:t>21. Gobierno y derechos</w:t>
      </w:r>
    </w:p>
    <w:p>
      <w:pPr>
        <w:keepNext/>
      </w:pPr>
      <w:r>
        <w:rPr>
          <w:i w:val="0"/>
        </w:rPr>
        <w:t>Temas a acordar:</w:t>
      </w:r>
    </w:p>
    <w:p>
      <w:pPr>
        <w:pStyle w:val="ListBullet"/>
        <w:keepNext/>
      </w:pPr>
      <w:r>
        <w:t>Vehículo societario y cuenta de inversión.</w:t>
      </w:r>
    </w:p>
    <w:p>
      <w:pPr>
        <w:pStyle w:val="ListBullet"/>
        <w:keepNext/>
      </w:pPr>
      <w:r>
        <w:t>Participación y derechos según aporte efectivo.</w:t>
      </w:r>
    </w:p>
    <w:p>
      <w:pPr>
        <w:pStyle w:val="ListBullet"/>
        <w:keepNext/>
      </w:pPr>
      <w:r>
        <w:t>Dedicación y remuneración del equipo.</w:t>
      </w:r>
    </w:p>
    <w:p>
      <w:pPr>
        <w:pStyle w:val="ListBullet"/>
        <w:keepNext/>
      </w:pPr>
      <w:r>
        <w:t>Reportes mensuales.</w:t>
      </w:r>
    </w:p>
    <w:p>
      <w:pPr>
        <w:pStyle w:val="ListBullet"/>
        <w:keepNext/>
      </w:pPr>
      <w:r>
        <w:t>Aprobación de presupuestos.</w:t>
      </w:r>
    </w:p>
    <w:p>
      <w:pPr>
        <w:pStyle w:val="ListBullet"/>
        <w:keepNext/>
      </w:pPr>
      <w:r>
        <w:t>Decisiones extraordinarias.</w:t>
      </w:r>
    </w:p>
    <w:p>
      <w:pPr>
        <w:pStyle w:val="ListBullet"/>
        <w:keepNext/>
      </w:pPr>
      <w:r>
        <w:t>Titularidad y licencias del software.</w:t>
      </w:r>
    </w:p>
    <w:p>
      <w:pPr>
        <w:pStyle w:val="ListBullet"/>
        <w:keepNext/>
      </w:pPr>
      <w:r>
        <w:t>Derechos sobre dominios, conectores y documentación.</w:t>
      </w:r>
    </w:p>
    <w:p>
      <w:pPr>
        <w:pStyle w:val="ListBullet"/>
        <w:keepNext/>
      </w:pPr>
      <w:r>
        <w:t>Permanencia y salida de fundadores.</w:t>
      </w:r>
    </w:p>
    <w:p>
      <w:pPr>
        <w:pStyle w:val="ListBullet"/>
        <w:keepNext/>
      </w:pPr>
      <w:r>
        <w:t>Consecuencias de no completar aportes.</w:t>
      </w:r>
    </w:p>
    <w:p>
      <w:pPr>
        <w:pStyle w:val="ListBullet"/>
        <w:keepNext/>
      </w:pPr>
      <w:r>
        <w:t>Nuevas rondas y dilución.</w:t>
      </w:r>
    </w:p>
    <w:p>
      <w:pPr>
        <w:pStyle w:val="ListBullet"/>
        <w:keepNext/>
      </w:pPr>
      <w:r>
        <w:t>Transferencia de acciones.</w:t>
      </w:r>
    </w:p>
    <w:p>
      <w:pPr>
        <w:pStyle w:val="ListBullet"/>
        <w:keepNext w:val="0"/>
      </w:pPr>
      <w:r>
        <w:t>Condiciones de una eventual venta.</w:t>
      </w:r>
    </w:p>
    <w:p>
      <w:r>
        <w:rPr>
          <w:i w:val="0"/>
        </w:rPr>
        <w:t>No se presupone propiedad sobre código existente o datos de clientes.</w:t>
      </w:r>
    </w:p>
    <w:p>
      <w:pPr>
        <w:pStyle w:val="Heading3"/>
      </w:pPr>
      <w:r>
        <w:t>Ejemplo de dilución</w:t>
      </w:r>
    </w:p>
    <w:p>
      <w:pPr>
        <w:keepNext/>
      </w:pPr>
      <w:r>
        <w:rPr>
          <w:i w:val="0"/>
        </w:rPr>
        <w:t>Si una ronda futura incorpora un 20 % nuevo y todos se diluyen proporcionalmente: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4535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Socio</w:t>
            </w:r>
          </w:p>
        </w:tc>
        <w:tc>
          <w:tcPr>
            <w:tcW w:type="dxa" w:w="255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Antes</w:t>
            </w:r>
          </w:p>
        </w:tc>
        <w:tc>
          <w:tcPr>
            <w:tcW w:type="dxa" w:w="2551"/>
            <w:vAlign w:val="center"/>
            <w:shd w:val="clear" w:color="auto" w:fill="12284C"/>
          </w:tcPr>
          <w:p>
            <w:pPr>
              <w:keepNext/>
              <w:spacing w:after="0" w:line="252" w:lineRule="auto"/>
              <w:jc w:val="right"/>
            </w:pPr>
            <w:r>
              <w:rPr>
                <w:b/>
                <w:color w:val="FFFFFF"/>
                <w:sz w:val="18"/>
              </w:rPr>
              <w:t>Después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Inversor inicial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30 %</w:t>
            </w:r>
          </w:p>
        </w:tc>
        <w:tc>
          <w:tcPr>
            <w:tcW w:type="dxa" w:w="2551"/>
            <w:vAlign w:val="center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24 %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Equipo promotor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70 %</w:t>
            </w:r>
          </w:p>
        </w:tc>
        <w:tc>
          <w:tcPr>
            <w:tcW w:type="dxa" w:w="2551"/>
            <w:vAlign w:val="center"/>
            <w:shd w:val="clear" w:color="auto" w:fill="F2F4F8"/>
          </w:tcPr>
          <w:p>
            <w:pPr>
              <w:keepNext/>
              <w:spacing w:after="0" w:line="252" w:lineRule="auto"/>
              <w:jc w:val="right"/>
            </w:pPr>
            <w:r>
              <w:rPr>
                <w:sz w:val="19"/>
              </w:rPr>
              <w:t>56 %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Nuevo inversor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spacing w:after="0" w:line="252" w:lineRule="auto"/>
              <w:jc w:val="right"/>
            </w:pPr>
            <w:r>
              <w:rPr>
                <w:sz w:val="19"/>
              </w:rPr>
              <w:t>20 %</w:t>
            </w:r>
          </w:p>
        </w:tc>
      </w:tr>
    </w:tbl>
    <w:p>
      <w:pPr>
        <w:spacing w:after="40"/>
      </w:pPr>
    </w:p>
    <w:p>
      <w:r>
        <w:rPr>
          <w:i w:val="0"/>
        </w:rPr>
        <w:t>No hay obligación de recompra, devolución de capital ni rendimiento mínimo salvo acuerdo expreso.</w:t>
      </w:r>
    </w:p>
    <w:p>
      <w:pPr>
        <w:pStyle w:val="Heading1"/>
      </w:pPr>
      <w:r>
        <w:t>22. Riesgos y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AE3"/>
          <w:bottom w:val="single" w:sz="4" w:color="D5DAE3"/>
          <w:insideH w:val="single" w:sz="4" w:color="D5DAE3"/>
          <w:left w:val="nil"/>
          <w:right w:val="nil"/>
          <w:insideV w:val="nil"/>
        </w:tblBorders>
        <w:tblCellMar>
          <w:top w:w="70" w:type="dxa"/>
          <w:bottom w:w="70" w:type="dxa"/>
          <w:left w:w="100" w:type="dxa"/>
          <w:right w:w="100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402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6236"/>
            <w:vAlign w:val="center"/>
            <w:shd w:val="clear" w:color="auto" w:fill="12284C"/>
          </w:tcPr>
          <w:p>
            <w:pPr>
              <w:keepNext/>
              <w:spacing w:after="0" w:line="252" w:lineRule="auto"/>
            </w:pPr>
            <w:r>
              <w:rPr>
                <w:b/>
                <w:color w:val="FFFFFF"/>
                <w:sz w:val="18"/>
              </w:rPr>
              <w:t>Control propuesto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Demanda insuficiente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Piloto cobrado y recompra antes de expandir.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Precios o stock incorrectos</w:t>
            </w:r>
          </w:p>
        </w:tc>
        <w:tc>
          <w:tcPr>
            <w:tcW w:type="dxa" w:w="6236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Fuentes aprobadas, versiones y confirmación.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Canal WhatsApp incompatible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Validación oficial y alternativa web.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Conflicto de canal</w:t>
            </w:r>
          </w:p>
        </w:tc>
        <w:tc>
          <w:tcPr>
            <w:tcW w:type="dxa" w:w="6236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Permisos y reglas claras entre proveedores.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Fraude, reintegros o pagos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Circuito aprobado, conciliación y responsables.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Captación más cara</w:t>
            </w:r>
          </w:p>
        </w:tc>
        <w:tc>
          <w:tcPr>
            <w:tcW w:type="dxa" w:w="6236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Revisión por canal y desembolsos por hitos.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Margen insuficiente</w:t>
            </w:r>
          </w:p>
        </w:tc>
        <w:tc>
          <w:tcPr>
            <w:tcW w:type="dxa" w:w="6236"/>
            <w:vAlign w:val="center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Modificar tarifas o alcance antes de aumentar volumen.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b/>
                <w:sz w:val="19"/>
              </w:rPr>
              <w:t>Activos o datos sin derechos</w:t>
            </w:r>
          </w:p>
        </w:tc>
        <w:tc>
          <w:tcPr>
            <w:tcW w:type="dxa" w:w="6236"/>
            <w:vAlign w:val="center"/>
            <w:shd w:val="clear" w:color="auto" w:fill="F2F4F8"/>
          </w:tcPr>
          <w:p>
            <w:pPr>
              <w:keepNext/>
              <w:spacing w:after="0" w:line="252" w:lineRule="auto"/>
            </w:pPr>
            <w:r>
              <w:rPr>
                <w:sz w:val="19"/>
              </w:rPr>
              <w:t>Inventario y contratos.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b/>
                <w:sz w:val="19"/>
              </w:rPr>
              <w:t>Restricciones fiscales y sectoriales</w:t>
            </w:r>
          </w:p>
        </w:tc>
        <w:tc>
          <w:tcPr>
            <w:tcW w:type="dxa" w:w="6236"/>
            <w:vAlign w:val="center"/>
          </w:tcPr>
          <w:p>
            <w:pPr>
              <w:keepNext w:val="0"/>
              <w:spacing w:after="0" w:line="252" w:lineRule="auto"/>
            </w:pPr>
            <w:r>
              <w:rPr>
                <w:sz w:val="19"/>
              </w:rPr>
              <w:t>Revisión profesional del modelo y categoría.</w:t>
            </w:r>
          </w:p>
        </w:tc>
      </w:tr>
    </w:tbl>
    <w:p>
      <w:pPr>
        <w:spacing w:after="40"/>
      </w:pPr>
    </w:p>
    <w:p>
      <w:pPr>
        <w:pStyle w:val="Heading1"/>
      </w:pPr>
      <w:r>
        <w:t>23. Aclaraciones finales</w:t>
      </w:r>
    </w:p>
    <w:p>
      <w:pPr>
        <w:pStyle w:val="ListBullet"/>
        <w:keepNext/>
      </w:pPr>
      <w:r>
        <w:t>Todos los importes son USD equivalentes constantes de referencia.</w:t>
      </w:r>
    </w:p>
    <w:p>
      <w:pPr>
        <w:pStyle w:val="ListBullet"/>
        <w:keepNext/>
      </w:pPr>
      <w:r>
        <w:t>No se fija tipo de cambio ni moneda de facturación.</w:t>
      </w:r>
    </w:p>
    <w:p>
      <w:pPr>
        <w:pStyle w:val="ListBullet"/>
        <w:keepNext/>
      </w:pPr>
      <w:r>
        <w:t>Las cifras son supuestos, no cotizaciones ni pronósticos garantizados.</w:t>
      </w:r>
    </w:p>
    <w:p>
      <w:pPr>
        <w:pStyle w:val="ListBullet"/>
        <w:keepNext/>
      </w:pPr>
      <w:r>
        <w:t>No se acreditan clientes, contratos ni facturación existente.</w:t>
      </w:r>
    </w:p>
    <w:p>
      <w:pPr>
        <w:pStyle w:val="ListBullet"/>
        <w:keepNext/>
      </w:pPr>
      <w:r>
        <w:t>No se realizó verificación web actualizada para esta propuesta.</w:t>
      </w:r>
    </w:p>
    <w:p>
      <w:pPr>
        <w:pStyle w:val="ListBullet"/>
        <w:keepNext/>
      </w:pPr>
      <w:r>
        <w:t>El flujo supone cobros y pagos dentro del mes.</w:t>
      </w:r>
    </w:p>
    <w:p>
      <w:pPr>
        <w:pStyle w:val="ListBullet"/>
        <w:keepNext/>
      </w:pPr>
      <w:r>
        <w:t>No modela completamente impuestos, reservas de procesadores, plazos ni contingencias.</w:t>
      </w:r>
    </w:p>
    <w:p>
      <w:pPr>
        <w:pStyle w:val="ListBullet"/>
        <w:keepNext/>
      </w:pPr>
      <w:r>
        <w:t>No incluye stock, deuda o crédito propio.</w:t>
      </w:r>
    </w:p>
    <w:p>
      <w:pPr>
        <w:pStyle w:val="ListBullet"/>
        <w:keepNext/>
      </w:pPr>
      <w:r>
        <w:t>Los fondos de vendedores no son caja libre del proyecto.</w:t>
      </w:r>
    </w:p>
    <w:p>
      <w:pPr>
        <w:pStyle w:val="ListBullet"/>
        <w:keepNext/>
      </w:pPr>
      <w:r>
        <w:t>La política de dividendos requiere validación contable, jurídica y societaria.</w:t>
      </w:r>
    </w:p>
    <w:p>
      <w:pPr>
        <w:pStyle w:val="ListBullet"/>
        <w:keepNext/>
      </w:pPr>
      <w:r>
        <w:t>La participación y los valores de salida son referencias de negociación.</w:t>
      </w:r>
    </w:p>
    <w:p>
      <w:pPr>
        <w:pStyle w:val="ListBullet"/>
        <w:keepNext/>
      </w:pPr>
      <w:r>
        <w:t>Antes de firmar deben validarse presupuesto, equipo, propiedad intelectual, canal, pagos y demanda.</w:t>
      </w:r>
    </w:p>
    <w:p>
      <w:pPr>
        <w:pStyle w:val="ListBullet"/>
        <w:keepNext w:val="0"/>
      </w:pPr>
      <w:r>
        <w:t>El documento no es una oferta irrevocable ni una garantía de rentabilidad.</w:t>
      </w:r>
    </w:p>
    <w:sectPr w:rsidR="00FC693F" w:rsidRPr="0006063C" w:rsidSect="00034616">
      <w:footerReference w:type="default" r:id="rId12"/>
      <w:headerReference w:type="default" r:id="rId1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A6375"/>
        <w:sz w:val="16"/>
      </w:rPr>
      <w:t xml:space="preserve">Propuesta de inversión · Base de negociación · Cifras = supuestos de planificación      Página </w:t>
    </w:r>
    <w:r>
      <w:rPr>
        <w:color w:val="5A637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8B57"/>
        <w:sz w:val="16"/>
      </w:rPr>
      <w:t>Sistema integrado de venta y abastecimiento B2B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color w:val="1B2A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color w:val="1228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Calibri" w:cs="Calibri"/>
      <w:b/>
      <w:bCs/>
      <w:color w:val="1228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Calibri" w:hAnsi="Calibri" w:eastAsia="Calibri" w:cs="Calibri"/>
      <w:b/>
      <w:bCs/>
      <w:color w:val="2E8B5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inversión — Sistema integrado de venta y abastecimiento B2B para Argentina</dc:title>
  <dc:subject/>
  <dc:creator>Equipo promotor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