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647" w:val="clear"/>
        <w:spacing w:after="0" w:before="0"/>
      </w:pPr>
      <w:r>
        <w:rPr>
          <w:sz w:val="2"/>
          <w:szCs w:val="2"/>
        </w:rPr>
        <w:t xml:space="preserve"> </w:t>
      </w:r>
    </w:p>
    <w:p>
      <w:pPr>
        <w:spacing w:after="40" w:before="200"/>
      </w:pPr>
      <w:r>
        <w:rPr>
          <w:b/>
          <w:bCs/>
          <w:color w:val="B8862E"/>
          <w:sz w:val="18"/>
          <w:szCs w:val="18"/>
        </w:rPr>
        <w:t xml:space="preserve">TRANSFERAI AFRICA · WEBINAIRE « IA PRATIQUE » · 18 JUILLET 2026</w:t>
      </w:r>
    </w:p>
    <w:p>
      <w:pPr>
        <w:spacing w:after="60"/>
      </w:pPr>
      <w:r>
        <w:rPr>
          <w:b/>
          <w:bCs/>
          <w:color w:val="0A2647"/>
          <w:sz w:val="40"/>
          <w:szCs w:val="40"/>
        </w:rPr>
        <w:t xml:space="preserve">CAS D'USAGE</w:t>
      </w:r>
    </w:p>
    <w:p>
      <w:pPr>
        <w:spacing w:after="60"/>
      </w:pPr>
      <w:r>
        <w:rPr>
          <w:b/>
          <w:bCs/>
          <w:color w:val="0A2647"/>
          <w:sz w:val="32"/>
          <w:szCs w:val="32"/>
        </w:rPr>
        <w:t xml:space="preserve">Pré-Clôture Bancaire avec Validation Humaine</w:t>
      </w:r>
    </w:p>
    <w:p>
      <w:pPr>
        <w:spacing w:after="240"/>
      </w:pPr>
      <w:r>
        <w:rPr>
          <w:i/>
          <w:iCs/>
          <w:color w:val="6B7280"/>
          <w:sz w:val="20"/>
          <w:szCs w:val="20"/>
        </w:rPr>
        <w:t xml:space="preserve">L'IA détecte, synthétise et alerte — mais ne diffuse jamais rien sans validation humaine explicite.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shd w:fill="0A2647" w:val="clear"/>
            <w:tcMar>
              <w:top w:type="dxa" w:w="100"/>
              <w:left w:type="dxa" w:w="120"/>
              <w:bottom w:type="dxa" w:w="100"/>
              <w:right w:type="dxa" w:w="120"/>
            </w:tcMar>
          </w:tcPr>
          <w:p>
            <w:r>
              <w:rPr>
                <w:b/>
                <w:bCs/>
                <w:color w:val="FFFFFF"/>
                <w:sz w:val="18"/>
                <w:szCs w:val="18"/>
              </w:rPr>
              <w:t xml:space="preserve">PRÉSENTATEUR</w:t>
            </w:r>
          </w:p>
        </w:tc>
        <w:tc>
          <w:tcPr>
            <w:tcW w:type="dxa" w:w="7257"/>
            <w:shd w:fill="0A2647" w:val="clear"/>
            <w:tcMar>
              <w:top w:type="dxa" w:w="100"/>
              <w:left w:type="dxa" w:w="120"/>
              <w:bottom w:type="dxa" w:w="100"/>
              <w:right w:type="dxa" w:w="120"/>
            </w:tcMar>
          </w:tcPr>
          <w:p>
            <w:r>
              <w:rPr>
                <w:b/>
                <w:bCs/>
                <w:color w:val="FFFFFF"/>
                <w:sz w:val="18"/>
                <w:szCs w:val="18"/>
              </w:rPr>
              <w:t xml:space="preserve">RÔLE</w:t>
            </w:r>
          </w:p>
        </w:tc>
      </w:tr>
      <w:tr>
        <w:tc>
          <w:tcPr>
            <w:tcW w:type="dxa" w:w="2822"/>
            <w:shd w:fill="FFFFFF" w:val="clear"/>
            <w:tcMar>
              <w:top w:type="dxa" w:w="100"/>
              <w:left w:type="dxa" w:w="120"/>
              <w:bottom w:type="dxa" w:w="100"/>
              <w:right w:type="dxa" w:w="120"/>
            </w:tcMar>
          </w:tcPr>
          <w:p>
            <w:r>
              <w:rPr>
                <w:b w:val="false"/>
                <w:bCs w:val="false"/>
                <w:color w:val="1F2937"/>
                <w:sz w:val="20"/>
                <w:szCs w:val="20"/>
              </w:rPr>
              <w:t xml:space="preserve">Jean Serge ANON</w:t>
            </w:r>
          </w:p>
        </w:tc>
        <w:tc>
          <w:tcPr>
            <w:tcW w:type="dxa" w:w="7257"/>
            <w:shd w:fill="FFFFFF" w:val="clear"/>
            <w:tcMar>
              <w:top w:type="dxa" w:w="100"/>
              <w:left w:type="dxa" w:w="120"/>
              <w:bottom w:type="dxa" w:w="100"/>
              <w:right w:type="dxa" w:w="120"/>
            </w:tcMar>
          </w:tcPr>
          <w:p>
            <w:r>
              <w:rPr>
                <w:b w:val="false"/>
                <w:bCs w:val="false"/>
                <w:color w:val="1F2937"/>
                <w:sz w:val="20"/>
                <w:szCs w:val="20"/>
              </w:rPr>
              <w:t xml:space="preserve">Expert Auditeur &amp; Formateur-Coach Multipotentiel</w:t>
            </w:r>
          </w:p>
        </w:tc>
      </w:tr>
    </w:tbl>
    <w:p>
      <w:pPr>
        <w:spacing w:after="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0A2647" w:val="clear"/>
            <w:tcMar>
              <w:top w:type="dxa" w:w="100"/>
              <w:left w:type="dxa" w:w="120"/>
              <w:bottom w:type="dxa" w:w="100"/>
              <w:right w:type="dxa" w:w="120"/>
            </w:tcMar>
          </w:tcPr>
          <w:p>
            <w:r>
              <w:rPr>
                <w:b/>
                <w:bCs/>
                <w:color w:val="FFFFFF"/>
                <w:sz w:val="18"/>
                <w:szCs w:val="18"/>
              </w:rPr>
              <w:t xml:space="preserve">SECTEUR</w:t>
            </w:r>
          </w:p>
        </w:tc>
        <w:tc>
          <w:tcPr>
            <w:tcW w:type="dxa" w:w="5040"/>
            <w:shd w:fill="0A2647" w:val="clear"/>
            <w:tcMar>
              <w:top w:type="dxa" w:w="100"/>
              <w:left w:type="dxa" w:w="120"/>
              <w:bottom w:type="dxa" w:w="100"/>
              <w:right w:type="dxa" w:w="120"/>
            </w:tcMar>
          </w:tcPr>
          <w:p>
            <w:r>
              <w:rPr>
                <w:b/>
                <w:bCs/>
                <w:color w:val="FFFFFF"/>
                <w:sz w:val="18"/>
                <w:szCs w:val="18"/>
              </w:rPr>
              <w:t xml:space="preserve">STATUT</w:t>
            </w:r>
          </w:p>
        </w:tc>
      </w:tr>
      <w:tr>
        <w:tc>
          <w:tcPr>
            <w:tcW w:type="dxa" w:w="5040"/>
            <w:shd w:fill="FFFFFF" w:val="clear"/>
            <w:tcMar>
              <w:top w:type="dxa" w:w="100"/>
              <w:left w:type="dxa" w:w="120"/>
              <w:bottom w:type="dxa" w:w="100"/>
              <w:right w:type="dxa" w:w="120"/>
            </w:tcMar>
          </w:tcPr>
          <w:p>
            <w:r>
              <w:rPr>
                <w:b w:val="false"/>
                <w:bCs w:val="false"/>
                <w:color w:val="1F2937"/>
                <w:sz w:val="20"/>
                <w:szCs w:val="20"/>
              </w:rPr>
              <w:t xml:space="preserve">Finance — Banque — Comptabilité</w:t>
            </w:r>
          </w:p>
        </w:tc>
        <w:tc>
          <w:tcPr>
            <w:tcW w:type="dxa" w:w="5040"/>
            <w:shd w:fill="FFFFFF" w:val="clear"/>
            <w:tcMar>
              <w:top w:type="dxa" w:w="100"/>
              <w:left w:type="dxa" w:w="120"/>
              <w:bottom w:type="dxa" w:w="100"/>
              <w:right w:type="dxa" w:w="120"/>
            </w:tcMar>
          </w:tcPr>
          <w:p>
            <w:r>
              <w:rPr>
                <w:b w:val="false"/>
                <w:bCs w:val="false"/>
                <w:color w:val="1F2937"/>
                <w:sz w:val="20"/>
                <w:szCs w:val="20"/>
              </w:rPr>
              <w:t xml:space="preserve">Déployé et validé en production</w:t>
            </w:r>
          </w:p>
        </w:tc>
      </w:tr>
    </w:tbl>
    <w:p>
      <w:pPr>
        <w:pStyle w:val="Heading1"/>
        <w:pBdr>
          <w:bottom w:val="single" w:color="B8862E" w:sz="6" w:space="4"/>
        </w:pBdr>
        <w:spacing w:after="160" w:before="360"/>
      </w:pPr>
      <w:r>
        <w:rPr>
          <w:b/>
          <w:bCs/>
          <w:color w:val="0A2647"/>
          <w:sz w:val="26"/>
          <w:szCs w:val="26"/>
        </w:rPr>
        <w:t xml:space="preserve">1. Le problème de départ</w:t>
      </w:r>
    </w:p>
    <w:p>
      <w:pPr>
        <w:spacing w:after="160" w:line="300"/>
      </w:pPr>
      <w:r>
        <w:rPr>
          <w:b w:val="false"/>
          <w:bCs w:val="false"/>
          <w:i w:val="false"/>
          <w:iCs w:val="false"/>
          <w:color w:val="1F2937"/>
          <w:sz w:val="21"/>
          <w:szCs w:val="21"/>
        </w:rPr>
        <w:t xml:space="preserve">Chaque mois, avant la clôture comptable officielle, les équipes finance, comptabilité et back-office bancaire doivent passer en revue des dizaines, parfois des centaines de comptes pour vérifier que les soldes sont cohérents d'une période à l'autre. Cet exercice de « pré-clôture » est aujourd'hui réalisé, dans la très grande majorité des institutions, de manière entièrement manuelle, le plus souvent sous Excel.</w:t>
      </w:r>
    </w:p>
    <w:p>
      <w:pPr>
        <w:spacing w:after="160" w:line="300"/>
      </w:pPr>
      <w:r>
        <w:rPr>
          <w:b w:val="false"/>
          <w:bCs w:val="false"/>
          <w:i/>
          <w:iCs/>
          <w:color w:val="1F2937"/>
          <w:sz w:val="21"/>
          <w:szCs w:val="21"/>
        </w:rPr>
        <w:t xml:space="preserve">Un volume important de comptes à vérifier en quelques jours ouvrés seulement, un risque réel d'oubli ou d'erreur humaine, des règles de détection appliquées de manière inégale selon la personne, une remontée des anomalies informelle et peu traçable, et un temps considérable passé à rédiger un compte rendu présentable : ce problème est très concret et partagé par la quasi-totalité des directions financières.</w:t>
      </w:r>
    </w:p>
    <w:p>
      <w:pPr>
        <w:pStyle w:val="Heading1"/>
        <w:pBdr>
          <w:bottom w:val="single" w:color="B8862E" w:sz="6" w:space="4"/>
        </w:pBdr>
        <w:spacing w:after="160" w:before="360"/>
      </w:pPr>
      <w:r>
        <w:rPr>
          <w:b/>
          <w:bCs/>
          <w:color w:val="0A2647"/>
          <w:sz w:val="26"/>
          <w:szCs w:val="26"/>
        </w:rPr>
        <w:t xml:space="preserve">2. Le fonctionnement pas à 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0"/>
      </w:tblGrid>
      <w:tr>
        <w:tc>
          <w:tcPr>
            <w:tcW w:type="dxa" w:w="2419"/>
            <w:shd w:fill="0A2647" w:val="clear"/>
            <w:tcMar>
              <w:top w:type="dxa" w:w="100"/>
              <w:left w:type="dxa" w:w="120"/>
              <w:bottom w:type="dxa" w:w="100"/>
              <w:right w:type="dxa" w:w="120"/>
            </w:tcMar>
          </w:tcPr>
          <w:p>
            <w:r>
              <w:rPr>
                <w:b/>
                <w:bCs/>
                <w:color w:val="FFFFFF"/>
                <w:sz w:val="18"/>
                <w:szCs w:val="18"/>
              </w:rPr>
              <w:t xml:space="preserve">ÉTAPE</w:t>
            </w:r>
          </w:p>
        </w:tc>
        <w:tc>
          <w:tcPr>
            <w:tcW w:type="dxa" w:w="7660"/>
            <w:shd w:fill="0A2647" w:val="clear"/>
            <w:tcMar>
              <w:top w:type="dxa" w:w="100"/>
              <w:left w:type="dxa" w:w="120"/>
              <w:bottom w:type="dxa" w:w="100"/>
              <w:right w:type="dxa" w:w="120"/>
            </w:tcMar>
          </w:tcPr>
          <w:p>
            <w:r>
              <w:rPr>
                <w:b/>
                <w:bCs/>
                <w:color w:val="FFFFFF"/>
                <w:sz w:val="18"/>
                <w:szCs w:val="18"/>
              </w:rPr>
              <w:t xml:space="preserve">CE QUI SE PASSE CONCRÈTEMENT</w:t>
            </w:r>
          </w:p>
        </w:tc>
      </w:tr>
      <w:tr>
        <w:tc>
          <w:tcPr>
            <w:tcW w:type="dxa" w:w="2419"/>
            <w:shd w:fill="FFFFFF" w:val="clear"/>
            <w:tcMar>
              <w:top w:type="dxa" w:w="100"/>
              <w:left w:type="dxa" w:w="120"/>
              <w:bottom w:type="dxa" w:w="100"/>
              <w:right w:type="dxa" w:w="120"/>
            </w:tcMar>
          </w:tcPr>
          <w:p>
            <w:r>
              <w:rPr>
                <w:b w:val="false"/>
                <w:bCs w:val="false"/>
                <w:color w:val="1F2937"/>
                <w:sz w:val="20"/>
                <w:szCs w:val="20"/>
              </w:rPr>
              <w:t xml:space="preserve">1. Collecte</w:t>
            </w:r>
          </w:p>
        </w:tc>
        <w:tc>
          <w:tcPr>
            <w:tcW w:type="dxa" w:w="7660"/>
            <w:shd w:fill="FFFFFF" w:val="clear"/>
            <w:tcMar>
              <w:top w:type="dxa" w:w="100"/>
              <w:left w:type="dxa" w:w="120"/>
              <w:bottom w:type="dxa" w:w="100"/>
              <w:right w:type="dxa" w:w="120"/>
            </w:tcMar>
          </w:tcPr>
          <w:p>
            <w:r>
              <w:rPr>
                <w:b w:val="false"/>
                <w:bCs w:val="false"/>
                <w:color w:val="1F2937"/>
                <w:sz w:val="20"/>
                <w:szCs w:val="20"/>
              </w:rPr>
              <w:t xml:space="preserve">Les soldes de la période (compte, solde actuel, solde précédent, justificatif, responsable) sont réceptionnés automatiquement.</w:t>
            </w:r>
          </w:p>
        </w:tc>
      </w:tr>
      <w:tr>
        <w:tc>
          <w:tcPr>
            <w:tcW w:type="dxa" w:w="2419"/>
            <w:shd w:fill="F4F6F9" w:val="clear"/>
            <w:tcMar>
              <w:top w:type="dxa" w:w="100"/>
              <w:left w:type="dxa" w:w="120"/>
              <w:bottom w:type="dxa" w:w="100"/>
              <w:right w:type="dxa" w:w="120"/>
            </w:tcMar>
          </w:tcPr>
          <w:p>
            <w:r>
              <w:rPr>
                <w:b w:val="false"/>
                <w:bCs w:val="false"/>
                <w:color w:val="1F2937"/>
                <w:sz w:val="20"/>
                <w:szCs w:val="20"/>
              </w:rPr>
              <w:t xml:space="preserve">2. Détection des écarts</w:t>
            </w:r>
          </w:p>
        </w:tc>
        <w:tc>
          <w:tcPr>
            <w:tcW w:type="dxa" w:w="7660"/>
            <w:shd w:fill="F4F6F9" w:val="clear"/>
            <w:tcMar>
              <w:top w:type="dxa" w:w="100"/>
              <w:left w:type="dxa" w:w="120"/>
              <w:bottom w:type="dxa" w:w="100"/>
              <w:right w:type="dxa" w:w="120"/>
            </w:tcMar>
          </w:tcPr>
          <w:p>
            <w:r>
              <w:rPr>
                <w:b w:val="false"/>
                <w:bCs w:val="false"/>
                <w:color w:val="1F2937"/>
                <w:sz w:val="20"/>
                <w:szCs w:val="20"/>
              </w:rPr>
              <w:t xml:space="preserve">Chaque compte est analysé selon les règles définies : seuil de variation en montant, en pourcentage, et présence d'un justificatif obligatoire.</w:t>
            </w:r>
          </w:p>
        </w:tc>
      </w:tr>
      <w:tr>
        <w:tc>
          <w:tcPr>
            <w:tcW w:type="dxa" w:w="2419"/>
            <w:shd w:fill="FFFFFF" w:val="clear"/>
            <w:tcMar>
              <w:top w:type="dxa" w:w="100"/>
              <w:left w:type="dxa" w:w="120"/>
              <w:bottom w:type="dxa" w:w="100"/>
              <w:right w:type="dxa" w:w="120"/>
            </w:tcMar>
          </w:tcPr>
          <w:p>
            <w:r>
              <w:rPr>
                <w:b w:val="false"/>
                <w:bCs w:val="false"/>
                <w:color w:val="1F2937"/>
                <w:sz w:val="20"/>
                <w:szCs w:val="20"/>
              </w:rPr>
              <w:t xml:space="preserve">3. Priorisation</w:t>
            </w:r>
          </w:p>
        </w:tc>
        <w:tc>
          <w:tcPr>
            <w:tcW w:type="dxa" w:w="7660"/>
            <w:shd w:fill="FFFFFF" w:val="clear"/>
            <w:tcMar>
              <w:top w:type="dxa" w:w="100"/>
              <w:left w:type="dxa" w:w="120"/>
              <w:bottom w:type="dxa" w:w="100"/>
              <w:right w:type="dxa" w:w="120"/>
            </w:tcMar>
          </w:tcPr>
          <w:p>
            <w:r>
              <w:rPr>
                <w:b w:val="false"/>
                <w:bCs w:val="false"/>
                <w:color w:val="1F2937"/>
                <w:sz w:val="20"/>
                <w:szCs w:val="20"/>
              </w:rPr>
              <w:t xml:space="preserve">Chaque anomalie est classée par sévérité : élevée (immédiat), moyenne (avant clôture), faible (peut attendre).</w:t>
            </w:r>
          </w:p>
        </w:tc>
      </w:tr>
      <w:tr>
        <w:tc>
          <w:tcPr>
            <w:tcW w:type="dxa" w:w="2419"/>
            <w:shd w:fill="F4F6F9" w:val="clear"/>
            <w:tcMar>
              <w:top w:type="dxa" w:w="100"/>
              <w:left w:type="dxa" w:w="120"/>
              <w:bottom w:type="dxa" w:w="100"/>
              <w:right w:type="dxa" w:w="120"/>
            </w:tcMar>
          </w:tcPr>
          <w:p>
            <w:r>
              <w:rPr>
                <w:b w:val="false"/>
                <w:bCs w:val="false"/>
                <w:color w:val="1F2937"/>
                <w:sz w:val="20"/>
                <w:szCs w:val="20"/>
              </w:rPr>
              <w:t xml:space="preserve">4. Anonymisation</w:t>
            </w:r>
          </w:p>
        </w:tc>
        <w:tc>
          <w:tcPr>
            <w:tcW w:type="dxa" w:w="7660"/>
            <w:shd w:fill="F4F6F9" w:val="clear"/>
            <w:tcMar>
              <w:top w:type="dxa" w:w="100"/>
              <w:left w:type="dxa" w:w="120"/>
              <w:bottom w:type="dxa" w:w="100"/>
              <w:right w:type="dxa" w:w="120"/>
            </w:tcMar>
          </w:tcPr>
          <w:p>
            <w:r>
              <w:rPr>
                <w:b w:val="false"/>
                <w:bCs w:val="false"/>
                <w:color w:val="1F2937"/>
                <w:sz w:val="20"/>
                <w:szCs w:val="20"/>
              </w:rPr>
              <w:t xml:space="preserve">Avant tout envoi à l'IA, chaque donnée sensible (établissement, comptes, montants, responsables) est remplacée par un jeton neutre.</w:t>
            </w:r>
          </w:p>
        </w:tc>
      </w:tr>
      <w:tr>
        <w:tc>
          <w:tcPr>
            <w:tcW w:type="dxa" w:w="2419"/>
            <w:shd w:fill="FFFFFF" w:val="clear"/>
            <w:tcMar>
              <w:top w:type="dxa" w:w="100"/>
              <w:left w:type="dxa" w:w="120"/>
              <w:bottom w:type="dxa" w:w="100"/>
              <w:right w:type="dxa" w:w="120"/>
            </w:tcMar>
          </w:tcPr>
          <w:p>
            <w:r>
              <w:rPr>
                <w:b w:val="false"/>
                <w:bCs w:val="false"/>
                <w:color w:val="1F2937"/>
                <w:sz w:val="20"/>
                <w:szCs w:val="20"/>
              </w:rPr>
              <w:t xml:space="preserve">5. Synthèse par IA</w:t>
            </w:r>
          </w:p>
        </w:tc>
        <w:tc>
          <w:tcPr>
            <w:tcW w:type="dxa" w:w="7660"/>
            <w:shd w:fill="FFFFFF" w:val="clear"/>
            <w:tcMar>
              <w:top w:type="dxa" w:w="100"/>
              <w:left w:type="dxa" w:w="120"/>
              <w:bottom w:type="dxa" w:w="100"/>
              <w:right w:type="dxa" w:w="120"/>
            </w:tcMar>
          </w:tcPr>
          <w:p>
            <w:r>
              <w:rPr>
                <w:b w:val="false"/>
                <w:bCs w:val="false"/>
                <w:color w:val="1F2937"/>
                <w:sz w:val="20"/>
                <w:szCs w:val="20"/>
              </w:rPr>
              <w:t xml:space="preserve">Une IA générative rédige, en français professionnel, un résumé exécutif structuré à partir des données anonymisées uniquement.</w:t>
            </w:r>
          </w:p>
        </w:tc>
      </w:tr>
      <w:tr>
        <w:tc>
          <w:tcPr>
            <w:tcW w:type="dxa" w:w="2419"/>
            <w:shd w:fill="F4F6F9" w:val="clear"/>
            <w:tcMar>
              <w:top w:type="dxa" w:w="100"/>
              <w:left w:type="dxa" w:w="120"/>
              <w:bottom w:type="dxa" w:w="100"/>
              <w:right w:type="dxa" w:w="120"/>
            </w:tcMar>
          </w:tcPr>
          <w:p>
            <w:r>
              <w:rPr>
                <w:b w:val="false"/>
                <w:bCs w:val="false"/>
                <w:color w:val="1F2937"/>
                <w:sz w:val="20"/>
                <w:szCs w:val="20"/>
              </w:rPr>
              <w:t xml:space="preserve">6. Dé-anonymisation</w:t>
            </w:r>
          </w:p>
        </w:tc>
        <w:tc>
          <w:tcPr>
            <w:tcW w:type="dxa" w:w="7660"/>
            <w:shd w:fill="F4F6F9" w:val="clear"/>
            <w:tcMar>
              <w:top w:type="dxa" w:w="100"/>
              <w:left w:type="dxa" w:w="120"/>
              <w:bottom w:type="dxa" w:w="100"/>
              <w:right w:type="dxa" w:w="120"/>
            </w:tcMar>
          </w:tcPr>
          <w:p>
            <w:r>
              <w:rPr>
                <w:b w:val="false"/>
                <w:bCs w:val="false"/>
                <w:color w:val="1F2937"/>
                <w:sz w:val="20"/>
                <w:szCs w:val="20"/>
              </w:rPr>
              <w:t xml:space="preserve">Les jetons de la synthèse sont remplacés par les vraies valeurs — restituées uniquement au responsable habilité à valider.</w:t>
            </w:r>
          </w:p>
        </w:tc>
      </w:tr>
      <w:tr>
        <w:tc>
          <w:tcPr>
            <w:tcW w:type="dxa" w:w="2419"/>
            <w:shd w:fill="FFFFFF" w:val="clear"/>
            <w:tcMar>
              <w:top w:type="dxa" w:w="100"/>
              <w:left w:type="dxa" w:w="120"/>
              <w:bottom w:type="dxa" w:w="100"/>
              <w:right w:type="dxa" w:w="120"/>
            </w:tcMar>
          </w:tcPr>
          <w:p>
            <w:r>
              <w:rPr>
                <w:b w:val="false"/>
                <w:bCs w:val="false"/>
                <w:color w:val="1F2937"/>
                <w:sz w:val="20"/>
                <w:szCs w:val="20"/>
              </w:rPr>
              <w:t xml:space="preserve">7. Validation humaine</w:t>
            </w:r>
          </w:p>
        </w:tc>
        <w:tc>
          <w:tcPr>
            <w:tcW w:type="dxa" w:w="7660"/>
            <w:shd w:fill="FFFFFF" w:val="clear"/>
            <w:tcMar>
              <w:top w:type="dxa" w:w="100"/>
              <w:left w:type="dxa" w:w="120"/>
              <w:bottom w:type="dxa" w:w="100"/>
              <w:right w:type="dxa" w:w="120"/>
            </w:tcMar>
          </w:tcPr>
          <w:p>
            <w:r>
              <w:rPr>
                <w:b w:val="false"/>
                <w:bCs w:val="false"/>
                <w:color w:val="1F2937"/>
                <w:sz w:val="20"/>
                <w:szCs w:val="20"/>
              </w:rPr>
              <w:t xml:space="preserve">La synthèse dé-anonymisée est envoyée par email au responsable désigné, avec deux boutons : « Approuver et diffuser » ou « Rejeter ».</w:t>
            </w:r>
          </w:p>
        </w:tc>
      </w:tr>
      <w:tr>
        <w:tc>
          <w:tcPr>
            <w:tcW w:type="dxa" w:w="2419"/>
            <w:shd w:fill="F4F6F9" w:val="clear"/>
            <w:tcMar>
              <w:top w:type="dxa" w:w="100"/>
              <w:left w:type="dxa" w:w="120"/>
              <w:bottom w:type="dxa" w:w="100"/>
              <w:right w:type="dxa" w:w="120"/>
            </w:tcMar>
          </w:tcPr>
          <w:p>
            <w:r>
              <w:rPr>
                <w:b w:val="false"/>
                <w:bCs w:val="false"/>
                <w:color w:val="1F2937"/>
                <w:sz w:val="20"/>
                <w:szCs w:val="20"/>
              </w:rPr>
              <w:t xml:space="preserve">8. Diffusion</w:t>
            </w:r>
          </w:p>
        </w:tc>
        <w:tc>
          <w:tcPr>
            <w:tcW w:type="dxa" w:w="7660"/>
            <w:shd w:fill="F4F6F9" w:val="clear"/>
            <w:tcMar>
              <w:top w:type="dxa" w:w="100"/>
              <w:left w:type="dxa" w:w="120"/>
              <w:bottom w:type="dxa" w:w="100"/>
              <w:right w:type="dxa" w:w="120"/>
            </w:tcMar>
          </w:tcPr>
          <w:p>
            <w:r>
              <w:rPr>
                <w:b w:val="false"/>
                <w:bCs w:val="false"/>
                <w:color w:val="1F2937"/>
                <w:sz w:val="20"/>
                <w:szCs w:val="20"/>
              </w:rPr>
              <w:t xml:space="preserve">Si approuvé, la synthèse est diffusée automatiquement à la liste de destinataires prévue. Si rejetée, aucune diffusion n'a lieu.</w:t>
            </w:r>
          </w:p>
        </w:tc>
      </w:tr>
    </w:tbl>
    <w:p>
      <w:pPr>
        <w:spacing w:after="160" w:line="300"/>
      </w:pPr>
      <w:r>
        <w:rPr>
          <w:b w:val="false"/>
          <w:bCs w:val="false"/>
          <w:i/>
          <w:iCs/>
          <w:color w:val="1F2937"/>
          <w:sz w:val="21"/>
          <w:szCs w:val="21"/>
        </w:rPr>
        <w:t xml:space="preserve">Fiabilité renforcée (18/07/2026) : le lien de validation envoyé par email repose désormais sur une référence sécurisée plutôt que sur les données elles-mêmes, ce qui garantit son bon fonctionnement quel que soit le volume d’anomalies détectées lors d’un cycle de pré-clôture.</w:t>
      </w:r>
    </w:p>
    <w:p>
      <w:pPr>
        <w:pStyle w:val="Heading1"/>
        <w:pBdr>
          <w:bottom w:val="single" w:color="B8862E" w:sz="6" w:space="4"/>
        </w:pBdr>
        <w:spacing w:after="160" w:before="360"/>
      </w:pPr>
      <w:r>
        <w:rPr>
          <w:b/>
          <w:bCs/>
          <w:color w:val="0A2647"/>
          <w:sz w:val="26"/>
          <w:szCs w:val="26"/>
        </w:rPr>
        <w:t xml:space="preserve">3. Confidentialité : ce que voit réellement l'IA</w:t>
      </w:r>
    </w:p>
    <w:p>
      <w:pPr>
        <w:spacing w:after="160" w:line="300"/>
      </w:pPr>
      <w:r>
        <w:rPr>
          <w:b w:val="false"/>
          <w:bCs w:val="false"/>
          <w:i w:val="false"/>
          <w:iCs w:val="false"/>
          <w:color w:val="1F2937"/>
          <w:sz w:val="21"/>
          <w:szCs w:val="21"/>
        </w:rPr>
        <w:t xml:space="preserve">Aucune donnée sensible réelle ne transite jamais en clair vers l'IA générative externe. Ce principe est intégré directement dans l'architecture, et non ajouté après coup.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0A2647" w:val="clear"/>
            <w:tcMar>
              <w:top w:type="dxa" w:w="100"/>
              <w:left w:type="dxa" w:w="120"/>
              <w:bottom w:type="dxa" w:w="100"/>
              <w:right w:type="dxa" w:w="120"/>
            </w:tcMar>
          </w:tcPr>
          <w:p>
            <w:r>
              <w:rPr>
                <w:b/>
                <w:bCs/>
                <w:color w:val="FFFFFF"/>
                <w:sz w:val="18"/>
                <w:szCs w:val="18"/>
              </w:rPr>
              <w:t xml:space="preserve">DONNÉE RÉELLE</w:t>
            </w:r>
          </w:p>
        </w:tc>
        <w:tc>
          <w:tcPr>
            <w:tcW w:type="dxa" w:w="5040"/>
            <w:shd w:fill="0A2647" w:val="clear"/>
            <w:tcMar>
              <w:top w:type="dxa" w:w="100"/>
              <w:left w:type="dxa" w:w="120"/>
              <w:bottom w:type="dxa" w:w="100"/>
              <w:right w:type="dxa" w:w="120"/>
            </w:tcMar>
          </w:tcPr>
          <w:p>
            <w:r>
              <w:rPr>
                <w:b/>
                <w:bCs/>
                <w:color w:val="FFFFFF"/>
                <w:sz w:val="18"/>
                <w:szCs w:val="18"/>
              </w:rPr>
              <w:t xml:space="preserve">CE QUE REÇOIT L'IA</w:t>
            </w:r>
          </w:p>
        </w:tc>
      </w:tr>
      <w:tr>
        <w:tc>
          <w:tcPr>
            <w:tcW w:type="dxa" w:w="5040"/>
            <w:shd w:fill="FFFFFF" w:val="clear"/>
            <w:tcMar>
              <w:top w:type="dxa" w:w="100"/>
              <w:left w:type="dxa" w:w="120"/>
              <w:bottom w:type="dxa" w:w="100"/>
              <w:right w:type="dxa" w:w="120"/>
            </w:tcMar>
          </w:tcPr>
          <w:p>
            <w:r>
              <w:rPr>
                <w:b w:val="false"/>
                <w:bCs w:val="false"/>
                <w:color w:val="1F2937"/>
                <w:sz w:val="20"/>
                <w:szCs w:val="20"/>
              </w:rPr>
              <w:t xml:space="preserve">Nom de l'établissement</w:t>
            </w:r>
          </w:p>
        </w:tc>
        <w:tc>
          <w:tcPr>
            <w:tcW w:type="dxa" w:w="5040"/>
            <w:shd w:fill="FFFFFF" w:val="clear"/>
            <w:tcMar>
              <w:top w:type="dxa" w:w="100"/>
              <w:left w:type="dxa" w:w="120"/>
              <w:bottom w:type="dxa" w:w="100"/>
              <w:right w:type="dxa" w:w="120"/>
            </w:tcMar>
          </w:tcPr>
          <w:p>
            <w:r>
              <w:rPr>
                <w:b w:val="false"/>
                <w:bCs w:val="false"/>
                <w:color w:val="1F2937"/>
                <w:sz w:val="20"/>
                <w:szCs w:val="20"/>
              </w:rPr>
              <w:t xml:space="preserve">[ETABLISSEMENT_1]</w:t>
            </w:r>
          </w:p>
        </w:tc>
      </w:tr>
      <w:tr>
        <w:tc>
          <w:tcPr>
            <w:tcW w:type="dxa" w:w="5040"/>
            <w:shd w:fill="F4F6F9" w:val="clear"/>
            <w:tcMar>
              <w:top w:type="dxa" w:w="100"/>
              <w:left w:type="dxa" w:w="120"/>
              <w:bottom w:type="dxa" w:w="100"/>
              <w:right w:type="dxa" w:w="120"/>
            </w:tcMar>
          </w:tcPr>
          <w:p>
            <w:r>
              <w:rPr>
                <w:b w:val="false"/>
                <w:bCs w:val="false"/>
                <w:color w:val="1F2937"/>
                <w:sz w:val="20"/>
                <w:szCs w:val="20"/>
              </w:rPr>
              <w:t xml:space="preserve">Code et intitulé de compte</w:t>
            </w:r>
          </w:p>
        </w:tc>
        <w:tc>
          <w:tcPr>
            <w:tcW w:type="dxa" w:w="5040"/>
            <w:shd w:fill="F4F6F9" w:val="clear"/>
            <w:tcMar>
              <w:top w:type="dxa" w:w="100"/>
              <w:left w:type="dxa" w:w="120"/>
              <w:bottom w:type="dxa" w:w="100"/>
              <w:right w:type="dxa" w:w="120"/>
            </w:tcMar>
          </w:tcPr>
          <w:p>
            <w:r>
              <w:rPr>
                <w:b w:val="false"/>
                <w:bCs w:val="false"/>
                <w:color w:val="1F2937"/>
                <w:sz w:val="20"/>
                <w:szCs w:val="20"/>
              </w:rPr>
              <w:t xml:space="preserve">[COMPTE_1], [COMPTE_2]…</w:t>
            </w:r>
          </w:p>
        </w:tc>
      </w:tr>
      <w:tr>
        <w:tc>
          <w:tcPr>
            <w:tcW w:type="dxa" w:w="5040"/>
            <w:shd w:fill="FFFFFF" w:val="clear"/>
            <w:tcMar>
              <w:top w:type="dxa" w:w="100"/>
              <w:left w:type="dxa" w:w="120"/>
              <w:bottom w:type="dxa" w:w="100"/>
              <w:right w:type="dxa" w:w="120"/>
            </w:tcMar>
          </w:tcPr>
          <w:p>
            <w:r>
              <w:rPr>
                <w:b w:val="false"/>
                <w:bCs w:val="false"/>
                <w:color w:val="1F2937"/>
                <w:sz w:val="20"/>
                <w:szCs w:val="20"/>
              </w:rPr>
              <w:t xml:space="preserve">Responsable ou équipe en charge</w:t>
            </w:r>
          </w:p>
        </w:tc>
        <w:tc>
          <w:tcPr>
            <w:tcW w:type="dxa" w:w="5040"/>
            <w:shd w:fill="FFFFFF" w:val="clear"/>
            <w:tcMar>
              <w:top w:type="dxa" w:w="100"/>
              <w:left w:type="dxa" w:w="120"/>
              <w:bottom w:type="dxa" w:w="100"/>
              <w:right w:type="dxa" w:w="120"/>
            </w:tcMar>
          </w:tcPr>
          <w:p>
            <w:r>
              <w:rPr>
                <w:b w:val="false"/>
                <w:bCs w:val="false"/>
                <w:color w:val="1F2937"/>
                <w:sz w:val="20"/>
                <w:szCs w:val="20"/>
              </w:rPr>
              <w:t xml:space="preserve">[RESPONSABLE_1], [RESPONSABLE_2]…</w:t>
            </w:r>
          </w:p>
        </w:tc>
      </w:tr>
      <w:tr>
        <w:tc>
          <w:tcPr>
            <w:tcW w:type="dxa" w:w="5040"/>
            <w:shd w:fill="F4F6F9" w:val="clear"/>
            <w:tcMar>
              <w:top w:type="dxa" w:w="100"/>
              <w:left w:type="dxa" w:w="120"/>
              <w:bottom w:type="dxa" w:w="100"/>
              <w:right w:type="dxa" w:w="120"/>
            </w:tcMar>
          </w:tcPr>
          <w:p>
            <w:r>
              <w:rPr>
                <w:b w:val="false"/>
                <w:bCs w:val="false"/>
                <w:color w:val="1F2937"/>
                <w:sz w:val="20"/>
                <w:szCs w:val="20"/>
              </w:rPr>
              <w:t xml:space="preserve">Montants (solde actuel, précédent, écart)</w:t>
            </w:r>
          </w:p>
        </w:tc>
        <w:tc>
          <w:tcPr>
            <w:tcW w:type="dxa" w:w="5040"/>
            <w:shd w:fill="F4F6F9" w:val="clear"/>
            <w:tcMar>
              <w:top w:type="dxa" w:w="100"/>
              <w:left w:type="dxa" w:w="120"/>
              <w:bottom w:type="dxa" w:w="100"/>
              <w:right w:type="dxa" w:w="120"/>
            </w:tcMar>
          </w:tcPr>
          <w:p>
            <w:r>
              <w:rPr>
                <w:b w:val="false"/>
                <w:bCs w:val="false"/>
                <w:color w:val="1F2937"/>
                <w:sz w:val="20"/>
                <w:szCs w:val="20"/>
              </w:rPr>
              <w:t xml:space="preserve">[MONTANT_1], [MONTANT_2], [MONTANT_3]…</w:t>
            </w:r>
          </w:p>
        </w:tc>
      </w:tr>
    </w:tbl>
    <w:p>
      <w:pPr>
        <w:spacing w:after="160" w:line="300"/>
      </w:pPr>
      <w:r>
        <w:rPr>
          <w:b w:val="false"/>
          <w:bCs w:val="false"/>
          <w:i/>
          <w:iCs/>
          <w:color w:val="1F2937"/>
          <w:sz w:val="21"/>
          <w:szCs w:val="21"/>
        </w:rPr>
        <w:t xml:space="preserve">La table de correspondance entre jetons et valeurs réelles n'existe que le temps de l'exécution en cours — elle n'est ni stockée, ni journalisée. Si un jeton n'était pas correctement restitué, il apparaîtrait tel quel dans l'email de validation, un signal immédiatement visible pour le responsable, qui peut alors rejeter la synthèse.</w:t>
      </w:r>
    </w:p>
    <w:p>
      <w:pPr>
        <w:pStyle w:val="Heading1"/>
        <w:pBdr>
          <w:bottom w:val="single" w:color="B8862E" w:sz="6" w:space="4"/>
        </w:pBdr>
        <w:spacing w:after="160" w:before="360"/>
      </w:pPr>
      <w:r>
        <w:rPr>
          <w:b/>
          <w:bCs/>
          <w:color w:val="0A2647"/>
          <w:sz w:val="26"/>
          <w:szCs w:val="26"/>
        </w:rPr>
        <w:t xml:space="preserve">4. Avant / Après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35"/>
        <w:gridCol w:w="5644"/>
      </w:tblGrid>
      <w:tr>
        <w:tc>
          <w:tcPr>
            <w:tcW w:type="dxa" w:w="4435"/>
            <w:shd w:fill="0A2647" w:val="clear"/>
            <w:tcMar>
              <w:top w:type="dxa" w:w="100"/>
              <w:left w:type="dxa" w:w="120"/>
              <w:bottom w:type="dxa" w:w="100"/>
              <w:right w:type="dxa" w:w="120"/>
            </w:tcMar>
          </w:tcPr>
          <w:p>
            <w:r>
              <w:rPr>
                <w:b/>
                <w:bCs/>
                <w:color w:val="FFFFFF"/>
                <w:sz w:val="18"/>
                <w:szCs w:val="18"/>
              </w:rPr>
              <w:t xml:space="preserve">AUJOURD'HUI, SANS IA</w:t>
            </w:r>
          </w:p>
        </w:tc>
        <w:tc>
          <w:tcPr>
            <w:tcW w:type="dxa" w:w="5644"/>
            <w:shd w:fill="0A2647" w:val="clear"/>
            <w:tcMar>
              <w:top w:type="dxa" w:w="100"/>
              <w:left w:type="dxa" w:w="120"/>
              <w:bottom w:type="dxa" w:w="100"/>
              <w:right w:type="dxa" w:w="120"/>
            </w:tcMar>
          </w:tcPr>
          <w:p>
            <w:r>
              <w:rPr>
                <w:b/>
                <w:bCs/>
                <w:color w:val="FFFFFF"/>
                <w:sz w:val="18"/>
                <w:szCs w:val="18"/>
              </w:rPr>
              <w:t xml:space="preserve">AVEC LA PRÉ-CLÔTURE ASSISTÉE PAR IA</w:t>
            </w:r>
          </w:p>
        </w:tc>
      </w:tr>
      <w:tr>
        <w:tc>
          <w:tcPr>
            <w:tcW w:type="dxa" w:w="4435"/>
            <w:shd w:fill="FFFFFF" w:val="clear"/>
            <w:tcMar>
              <w:top w:type="dxa" w:w="100"/>
              <w:left w:type="dxa" w:w="120"/>
              <w:bottom w:type="dxa" w:w="100"/>
              <w:right w:type="dxa" w:w="120"/>
            </w:tcMar>
          </w:tcPr>
          <w:p>
            <w:r>
              <w:rPr>
                <w:b w:val="false"/>
                <w:bCs w:val="false"/>
                <w:color w:val="1F2937"/>
                <w:sz w:val="20"/>
                <w:szCs w:val="20"/>
              </w:rPr>
              <w:t xml:space="preserve">Revue manuelle sous Excel, plusieurs heures voire jours par cycle</w:t>
            </w:r>
          </w:p>
        </w:tc>
        <w:tc>
          <w:tcPr>
            <w:tcW w:type="dxa" w:w="5644"/>
            <w:shd w:fill="FFFFFF" w:val="clear"/>
            <w:tcMar>
              <w:top w:type="dxa" w:w="100"/>
              <w:left w:type="dxa" w:w="120"/>
              <w:bottom w:type="dxa" w:w="100"/>
              <w:right w:type="dxa" w:w="120"/>
            </w:tcMar>
          </w:tcPr>
          <w:p>
            <w:r>
              <w:rPr>
                <w:b w:val="false"/>
                <w:bCs w:val="false"/>
                <w:color w:val="1F2937"/>
                <w:sz w:val="20"/>
                <w:szCs w:val="20"/>
              </w:rPr>
              <w:t xml:space="preserve">Détection automatique des écarts en quelques minutes</w:t>
            </w:r>
          </w:p>
        </w:tc>
      </w:tr>
      <w:tr>
        <w:tc>
          <w:tcPr>
            <w:tcW w:type="dxa" w:w="4435"/>
            <w:shd w:fill="F4F6F9" w:val="clear"/>
            <w:tcMar>
              <w:top w:type="dxa" w:w="100"/>
              <w:left w:type="dxa" w:w="120"/>
              <w:bottom w:type="dxa" w:w="100"/>
              <w:right w:type="dxa" w:w="120"/>
            </w:tcMar>
          </w:tcPr>
          <w:p>
            <w:r>
              <w:rPr>
                <w:b w:val="false"/>
                <w:bCs w:val="false"/>
                <w:color w:val="1F2937"/>
                <w:sz w:val="20"/>
                <w:szCs w:val="20"/>
              </w:rPr>
              <w:t xml:space="preserve">Seuils appliqués de manière variable selon la personne</w:t>
            </w:r>
          </w:p>
        </w:tc>
        <w:tc>
          <w:tcPr>
            <w:tcW w:type="dxa" w:w="5644"/>
            <w:shd w:fill="F4F6F9" w:val="clear"/>
            <w:tcMar>
              <w:top w:type="dxa" w:w="100"/>
              <w:left w:type="dxa" w:w="120"/>
              <w:bottom w:type="dxa" w:w="100"/>
              <w:right w:type="dxa" w:w="120"/>
            </w:tcMar>
          </w:tcPr>
          <w:p>
            <w:r>
              <w:rPr>
                <w:b w:val="false"/>
                <w:bCs w:val="false"/>
                <w:color w:val="1F2937"/>
                <w:sz w:val="20"/>
                <w:szCs w:val="20"/>
              </w:rPr>
              <w:t xml:space="preserve">Règles homogènes et paramétrables, appliquées à chaque cycle</w:t>
            </w:r>
          </w:p>
        </w:tc>
      </w:tr>
      <w:tr>
        <w:tc>
          <w:tcPr>
            <w:tcW w:type="dxa" w:w="4435"/>
            <w:shd w:fill="FFFFFF" w:val="clear"/>
            <w:tcMar>
              <w:top w:type="dxa" w:w="100"/>
              <w:left w:type="dxa" w:w="120"/>
              <w:bottom w:type="dxa" w:w="100"/>
              <w:right w:type="dxa" w:w="120"/>
            </w:tcMar>
          </w:tcPr>
          <w:p>
            <w:r>
              <w:rPr>
                <w:b w:val="false"/>
                <w:bCs w:val="false"/>
                <w:color w:val="1F2937"/>
                <w:sz w:val="20"/>
                <w:szCs w:val="20"/>
              </w:rPr>
              <w:t xml:space="preserve">Rédaction manuelle d'un compte rendu, format variable</w:t>
            </w:r>
          </w:p>
        </w:tc>
        <w:tc>
          <w:tcPr>
            <w:tcW w:type="dxa" w:w="5644"/>
            <w:shd w:fill="FFFFFF" w:val="clear"/>
            <w:tcMar>
              <w:top w:type="dxa" w:w="100"/>
              <w:left w:type="dxa" w:w="120"/>
              <w:bottom w:type="dxa" w:w="100"/>
              <w:right w:type="dxa" w:w="120"/>
            </w:tcMar>
          </w:tcPr>
          <w:p>
            <w:r>
              <w:rPr>
                <w:b w:val="false"/>
                <w:bCs w:val="false"/>
                <w:color w:val="1F2937"/>
                <w:sz w:val="20"/>
                <w:szCs w:val="20"/>
              </w:rPr>
              <w:t xml:space="preserve">Synthèse exécutive rédigée automatiquement, format homogène</w:t>
            </w:r>
          </w:p>
        </w:tc>
      </w:tr>
      <w:tr>
        <w:tc>
          <w:tcPr>
            <w:tcW w:type="dxa" w:w="4435"/>
            <w:shd w:fill="F4F6F9" w:val="clear"/>
            <w:tcMar>
              <w:top w:type="dxa" w:w="100"/>
              <w:left w:type="dxa" w:w="120"/>
              <w:bottom w:type="dxa" w:w="100"/>
              <w:right w:type="dxa" w:w="120"/>
            </w:tcMar>
          </w:tcPr>
          <w:p>
            <w:r>
              <w:rPr>
                <w:b w:val="false"/>
                <w:bCs w:val="false"/>
                <w:color w:val="1F2937"/>
                <w:sz w:val="20"/>
                <w:szCs w:val="20"/>
              </w:rPr>
              <w:t xml:space="preserve">Escalade informelle par email libre, sans traçabilité</w:t>
            </w:r>
          </w:p>
        </w:tc>
        <w:tc>
          <w:tcPr>
            <w:tcW w:type="dxa" w:w="5644"/>
            <w:shd w:fill="F4F6F9" w:val="clear"/>
            <w:tcMar>
              <w:top w:type="dxa" w:w="100"/>
              <w:left w:type="dxa" w:w="120"/>
              <w:bottom w:type="dxa" w:w="100"/>
              <w:right w:type="dxa" w:w="120"/>
            </w:tcMar>
          </w:tcPr>
          <w:p>
            <w:r>
              <w:rPr>
                <w:b w:val="false"/>
                <w:bCs w:val="false"/>
                <w:color w:val="1F2937"/>
                <w:sz w:val="20"/>
                <w:szCs w:val="20"/>
              </w:rPr>
              <w:t xml:space="preserve">Validation humaine formalisée en un clic, avec confirmation</w:t>
            </w:r>
          </w:p>
        </w:tc>
      </w:tr>
      <w:tr>
        <w:tc>
          <w:tcPr>
            <w:tcW w:type="dxa" w:w="4435"/>
            <w:shd w:fill="FFFFFF" w:val="clear"/>
            <w:tcMar>
              <w:top w:type="dxa" w:w="100"/>
              <w:left w:type="dxa" w:w="120"/>
              <w:bottom w:type="dxa" w:w="100"/>
              <w:right w:type="dxa" w:w="120"/>
            </w:tcMar>
          </w:tcPr>
          <w:p>
            <w:r>
              <w:rPr>
                <w:b w:val="false"/>
                <w:bCs w:val="false"/>
                <w:color w:val="1F2937"/>
                <w:sz w:val="20"/>
                <w:szCs w:val="20"/>
              </w:rPr>
              <w:t xml:space="preserve">Aucune maîtrise sur ce qui serait envoyé à une IA externe</w:t>
            </w:r>
          </w:p>
        </w:tc>
        <w:tc>
          <w:tcPr>
            <w:tcW w:type="dxa" w:w="5644"/>
            <w:shd w:fill="FFFFFF" w:val="clear"/>
            <w:tcMar>
              <w:top w:type="dxa" w:w="100"/>
              <w:left w:type="dxa" w:w="120"/>
              <w:bottom w:type="dxa" w:w="100"/>
              <w:right w:type="dxa" w:w="120"/>
            </w:tcMar>
          </w:tcPr>
          <w:p>
            <w:r>
              <w:rPr>
                <w:b w:val="false"/>
                <w:bCs w:val="false"/>
                <w:color w:val="1F2937"/>
                <w:sz w:val="20"/>
                <w:szCs w:val="20"/>
              </w:rPr>
              <w:t xml:space="preserve">Données sensibles systématiquement anonymisées avant tout appel IA</w:t>
            </w:r>
          </w:p>
        </w:tc>
      </w:tr>
    </w:tbl>
    <w:p>
      <w:pPr>
        <w:pStyle w:val="Heading1"/>
        <w:pBdr>
          <w:bottom w:val="single" w:color="B8862E" w:sz="6" w:space="4"/>
        </w:pBdr>
        <w:spacing w:after="160" w:before="360"/>
      </w:pPr>
      <w:r>
        <w:rPr>
          <w:b/>
          <w:bCs/>
          <w:color w:val="0A2647"/>
          <w:sz w:val="26"/>
          <w:szCs w:val="26"/>
        </w:rPr>
        <w:t xml:space="preserve">5. Ce que le client gagne</w:t>
      </w:r>
    </w:p>
    <w:p>
      <w:pPr>
        <w:pStyle w:val="ListParagraph"/>
        <w:numPr>
          <w:ilvl w:val="0"/>
          <w:numId w:val="2"/>
        </w:numPr>
        <w:spacing w:after="90"/>
      </w:pPr>
      <w:r>
        <w:rPr>
          <w:color w:val="1F2937"/>
          <w:sz w:val="21"/>
          <w:szCs w:val="21"/>
        </w:rPr>
        <w:t xml:space="preserve">Gain de temps important sur la préparation de chaque cycle de pré-clôture.</w:t>
      </w:r>
    </w:p>
    <w:p>
      <w:pPr>
        <w:pStyle w:val="ListParagraph"/>
        <w:numPr>
          <w:ilvl w:val="0"/>
          <w:numId w:val="2"/>
        </w:numPr>
        <w:spacing w:after="90"/>
      </w:pPr>
      <w:r>
        <w:rPr>
          <w:color w:val="1F2937"/>
          <w:sz w:val="21"/>
          <w:szCs w:val="21"/>
        </w:rPr>
        <w:t xml:space="preserve">Réduction significative du risque d'oubli d'un écart significatif avant la clôture officielle.</w:t>
      </w:r>
    </w:p>
    <w:p>
      <w:pPr>
        <w:pStyle w:val="ListParagraph"/>
        <w:numPr>
          <w:ilvl w:val="0"/>
          <w:numId w:val="2"/>
        </w:numPr>
        <w:spacing w:after="90"/>
      </w:pPr>
      <w:r>
        <w:rPr>
          <w:color w:val="1F2937"/>
          <w:sz w:val="21"/>
          <w:szCs w:val="21"/>
        </w:rPr>
        <w:t xml:space="preserve">Renforcement réel du contrôle interne : l'IA assiste, mais ne décide jamais seule.</w:t>
      </w:r>
    </w:p>
    <w:p>
      <w:pPr>
        <w:pStyle w:val="ListParagraph"/>
        <w:numPr>
          <w:ilvl w:val="0"/>
          <w:numId w:val="2"/>
        </w:numPr>
        <w:spacing w:after="90"/>
      </w:pPr>
      <w:r>
        <w:rPr>
          <w:color w:val="1F2937"/>
          <w:sz w:val="21"/>
          <w:szCs w:val="21"/>
        </w:rPr>
        <w:t xml:space="preserve">Protection systématique des données sensibles, restituées uniquement au responsable habilité.</w:t>
      </w:r>
    </w:p>
    <w:p>
      <w:pPr>
        <w:pStyle w:val="ListParagraph"/>
        <w:numPr>
          <w:ilvl w:val="0"/>
          <w:numId w:val="2"/>
        </w:numPr>
        <w:spacing w:after="90"/>
      </w:pPr>
      <w:r>
        <w:rPr>
          <w:color w:val="1F2937"/>
          <w:sz w:val="21"/>
          <w:szCs w:val="21"/>
        </w:rPr>
        <w:t xml:space="preserve">Traçabilité claire de la décision de diffusion, utile en cas de revue d'audit.</w:t>
      </w:r>
    </w:p>
    <w:p>
      <w:pPr>
        <w:pStyle w:val="ListParagraph"/>
        <w:numPr>
          <w:ilvl w:val="0"/>
          <w:numId w:val="2"/>
        </w:numPr>
        <w:spacing w:after="90"/>
      </w:pPr>
      <w:r>
        <w:rPr>
          <w:color w:val="1F2937"/>
          <w:sz w:val="21"/>
          <w:szCs w:val="21"/>
        </w:rPr>
        <w:t xml:space="preserve">Base méthodologique réutilisable pour d'autres contrôles périodiques : rapprochements bancaires, revue de provisions, contrôles de gestion.</w:t>
      </w:r>
    </w:p>
    <w:p>
      <w:pPr>
        <w:pStyle w:val="Heading1"/>
        <w:pBdr>
          <w:bottom w:val="single" w:color="B8862E" w:sz="6" w:space="4"/>
        </w:pBdr>
        <w:spacing w:after="160" w:before="360"/>
      </w:pPr>
      <w:r>
        <w:rPr>
          <w:b/>
          <w:bCs/>
          <w:color w:val="0A2647"/>
          <w:sz w:val="26"/>
          <w:szCs w:val="26"/>
        </w:rPr>
        <w:t xml:space="preserve">6. Prochaine étape</w:t>
      </w:r>
    </w:p>
    <w:p>
      <w:pPr>
        <w:spacing w:after="160" w:line="300"/>
      </w:pPr>
      <w:r>
        <w:rPr>
          <w:b w:val="false"/>
          <w:bCs w:val="false"/>
          <w:i w:val="false"/>
          <w:iCs w:val="false"/>
          <w:color w:val="1F2937"/>
          <w:sz w:val="21"/>
          <w:szCs w:val="21"/>
        </w:rPr>
        <w:t xml:space="preserve">TransferAI Africa propose un diagnostic gratuit pour identifier les cas d'usage prioritaires de votre organisation, et un accompagnement pour construire un premier pilote sur un périmètre restreint.</w:t>
      </w:r>
    </w:p>
    <w:p>
      <w:pPr>
        <w:pStyle w:val="ListParagraph"/>
        <w:numPr>
          <w:ilvl w:val="0"/>
          <w:numId w:val="2"/>
        </w:numPr>
        <w:spacing w:after="90"/>
      </w:pPr>
      <w:r>
        <w:rPr>
          <w:color w:val="1F2937"/>
          <w:sz w:val="21"/>
          <w:szCs w:val="21"/>
        </w:rPr>
        <w:t xml:space="preserve">Prochaine étape : formation « L'IA au Bureau » — 29-30 juillet 2026, Riviera 3, Abidjan</w:t>
      </w:r>
    </w:p>
    <w:p>
      <w:pPr>
        <w:pStyle w:val="ListParagraph"/>
        <w:numPr>
          <w:ilvl w:val="0"/>
          <w:numId w:val="2"/>
        </w:numPr>
        <w:spacing w:after="90"/>
      </w:pPr>
      <w:r>
        <w:rPr>
          <w:color w:val="1F2937"/>
          <w:sz w:val="21"/>
          <w:szCs w:val="21"/>
        </w:rPr>
        <w:t xml:space="preserve">Prendre rendez-vous avec Jean Serge ANON pour approfondir les usages Finance, Banque et Comptabilité</w:t>
      </w:r>
    </w:p>
    <w:p>
      <w:pPr>
        <w:pStyle w:val="ListParagraph"/>
        <w:numPr>
          <w:ilvl w:val="0"/>
          <w:numId w:val="2"/>
        </w:numPr>
        <w:spacing w:after="90"/>
      </w:pPr>
      <w:r>
        <w:rPr>
          <w:color w:val="1F2937"/>
          <w:sz w:val="21"/>
          <w:szCs w:val="21"/>
        </w:rPr>
        <w:t xml:space="preserve">Email : contact@transferai.ci</w:t>
      </w:r>
    </w:p>
    <w:p>
      <w:pPr>
        <w:pStyle w:val="ListParagraph"/>
        <w:numPr>
          <w:ilvl w:val="0"/>
          <w:numId w:val="2"/>
        </w:numPr>
        <w:spacing w:after="90"/>
      </w:pPr>
      <w:r>
        <w:rPr>
          <w:color w:val="1F2937"/>
          <w:sz w:val="21"/>
          <w:szCs w:val="21"/>
        </w:rPr>
        <w:t xml:space="preserve">Site : www.transferai.ci</w:t>
      </w:r>
    </w:p>
    <w:p>
      <w:pPr>
        <w:pStyle w:val="ListParagraph"/>
        <w:numPr>
          <w:ilvl w:val="0"/>
          <w:numId w:val="2"/>
        </w:numPr>
        <w:spacing w:after="90"/>
      </w:pPr>
      <w:r>
        <w:rPr>
          <w:color w:val="1F2937"/>
          <w:sz w:val="21"/>
          <w:szCs w:val="21"/>
        </w:rPr>
        <w:t xml:space="preserve">Démo interactive (accès protégé, identifiants communiqués séparément) : www.transferai.ci/demo/pre-cloture-bancaire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2026-07-12T14:10:54.289Z</dcterms:created>
  <dcterms:modified xsi:type="dcterms:W3CDTF">2026-07-12T14:10:54.290Z</dcterms:modified>
</cp:coreProperties>
</file>

<file path=docProps/custom.xml><?xml version="1.0" encoding="utf-8"?>
<Properties xmlns="http://schemas.openxmlformats.org/officeDocument/2006/custom-properties" xmlns:vt="http://schemas.openxmlformats.org/officeDocument/2006/docPropsVTypes"/>
</file>