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double" w:color="B08D4F" w:sz="6" w:space="12"/>
        </w:pBdr>
        <w:spacing w:before="500"/>
        <w:jc w:val="center"/>
      </w:pPr>
    </w:p>
    <w:p>
      <w:pPr>
        <w:spacing w:after="60" w:before="300"/>
        <w:jc w:val="center"/>
      </w:pPr>
      <w:r>
        <w:drawing>
          <wp:inline distT="0" distB="0" distL="0" distR="0">
            <wp:extent cx="2095500" cy="923925"/>
            <wp:effectExtent t="0" r="0" b="0" l="0"/>
            <wp:docPr id="1" name="cover-logo" descr="Logo TransferAI x NettelecomCI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0D7D6B"/>
          <w:sz w:val="20"/>
          <w:szCs w:val="20"/>
        </w:rPr>
        <w:t xml:space="preserve">Hub IA de NettelecomCI — Côte d'Ivoire</w:t>
      </w:r>
    </w:p>
    <w:p>
      <w:pPr>
        <w:spacing w:after="100" w:before="200"/>
        <w:jc w:val="center"/>
      </w:pPr>
      <w:r>
        <w:rPr>
          <w:b/>
          <w:bCs/>
          <w:color w:val="10263F"/>
          <w:sz w:val="40"/>
          <w:szCs w:val="40"/>
        </w:rPr>
        <w:t xml:space="preserve">CHARTE D'UTILISATION RESPONSABLE</w:t>
      </w:r>
    </w:p>
    <w:p>
      <w:pPr>
        <w:spacing w:after="260"/>
        <w:jc w:val="center"/>
      </w:pPr>
      <w:r>
        <w:rPr>
          <w:b/>
          <w:bCs/>
          <w:color w:val="10263F"/>
          <w:sz w:val="40"/>
          <w:szCs w:val="40"/>
        </w:rPr>
        <w:t xml:space="preserve">DE L'INTELLIGENCE ARTIFICIELLE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Livret officiel remis aux participants de la formation</w:t>
      </w:r>
    </w:p>
    <w:p>
      <w:pPr>
        <w:spacing w:after="300"/>
        <w:jc w:val="center"/>
      </w:pPr>
      <w:r>
        <w:rPr>
          <w:i/>
          <w:iCs/>
          <w:color w:val="444444"/>
          <w:sz w:val="22"/>
          <w:szCs w:val="22"/>
        </w:rPr>
        <w:t xml:space="preserve">“IA appliquée à votre métier”</w:t>
      </w:r>
    </w:p>
    <w:p>
      <w:pPr>
        <w:spacing w:after="60"/>
        <w:jc w:val="center"/>
      </w:pPr>
      <w:r>
        <w:rPr>
          <w:color w:val="888888"/>
          <w:sz w:val="18"/>
          <w:szCs w:val="18"/>
        </w:rPr>
        <w:t xml:space="preserve">Réf. CHARTE-IA-TAI-2026-07  •  Édition juillet 2026</w:t>
      </w:r>
    </w:p>
    <w:p>
      <w:pPr>
        <w:pBdr>
          <w:top w:val="double" w:color="B08D4F" w:sz="6" w:space="12"/>
        </w:pBdr>
        <w:spacing w:before="260"/>
        <w:jc w:val="center"/>
      </w:pPr>
    </w:p>
    <w:p>
      <w:r>
        <w:br w:type="page"/>
      </w:r>
    </w:p>
    <w:p>
      <w:pPr>
        <w:pStyle w:val="Heading1"/>
      </w:pPr>
      <w:r>
        <w:t xml:space="preserve">Article 1 — Préambule</w:t>
      </w:r>
    </w:p>
    <w:p>
      <w:pPr>
        <w:spacing w:after="160"/>
      </w:pPr>
      <w:r>
        <w:t xml:space="preserve">Cette charte s'adresse à tous les collaborateurs, managers et dirigeants qui utilisent — ou envisagent d'utiliser — des outils d'intelligence artificielle générative (ChatGPT, Copilot, Gemini, ou tout assistant IA interne) dans le cadre professionnel.</w:t>
      </w:r>
    </w:p>
    <w:p>
      <w:pPr>
        <w:spacing w:after="160"/>
      </w:pPr>
      <w:r>
        <w:t xml:space="preserve">Elle fixe des règles simples et applicables dès le lendemain de la formation, pour continuer à bénéficier des gains de productivité de l'IA sans exposer les données sensibles de l'entreprise, de ses clients ou de ses partenaires à des tiers non maîtrisés.</w:t>
      </w:r>
    </w:p>
    <w:p>
      <w:pPr>
        <w:spacing w:after="160"/>
      </w:pPr>
      <w:r>
        <w:t xml:space="preserve">Elle s'appuie sur un principe démontré en séance : la donnée sensible doit être neutralisée avant d'atteindre un modèle d'IA externe, puis restituée uniquement aux personnes habilitées à en connaître le contenu réel.</w:t>
      </w:r>
    </w:p>
    <w:p>
      <w:pPr>
        <w:pStyle w:val="Heading1"/>
      </w:pPr>
      <w:r>
        <w:t xml:space="preserve">Article 2 — Cadre légal et périmètre d'application</w:t>
      </w:r>
    </w:p>
    <w:p>
      <w:pPr>
        <w:spacing w:after="160"/>
      </w:pPr>
      <w:r>
        <w:t xml:space="preserve">Cette charte s'inscrit dans le prolongement des obligations de protection des données à caractère personnel applicables en Côte d'Ivoire, notamment la loi n° 2013-450 du 19 juin 2013, dont le respect est supervisé par l'Autorité de Régulation des Télécommunications/TIC de Côte d'Ivoire (ARTCI). Elle ne s'y substitue pas : elle en traduit les exigences en pratiques concrètes pour l'usage quotidien de l'IA générative.</w:t>
      </w:r>
    </w:p>
    <w:p>
      <w:pPr>
        <w:spacing w:after="160"/>
      </w:pPr>
      <w:r>
        <w:t xml:space="preserve">Elle s'applique à toute personne — salarié, manager, dirigeant ou prestataire — ayant accès, dans le cadre de son activité, à des données de l'entreprise, de ses clients ou de ses partenaires, dès lors qu'elle utilise un outil d'intelligence artificielle générative pour produire, résumer, traduire ou analyser du contenu.</w:t>
      </w:r>
    </w:p>
    <w:p>
      <w:pPr>
        <w:pStyle w:val="Heading1"/>
      </w:pPr>
      <w:r>
        <w:t xml:space="preserve">Article 3 — Principes fondamentaux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0263F"/>
        </w:rPr>
        <w:t xml:space="preserve">Minimisation</w:t>
      </w:r>
      <w:r>
        <w:t xml:space="preserve"> — ne transmettre à un outil IA que le strict nécessaire pour obtenir le résultat attendu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0263F"/>
        </w:rPr>
        <w:t xml:space="preserve">Anonymisation avant tout</w:t>
      </w:r>
      <w:r>
        <w:t xml:space="preserve"> — toute donnée identifiante doit être masquée avant l'appel à un modèle externe, puis restituée uniquement dans l'environnement de l'entreprise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0263F"/>
        </w:rPr>
        <w:t xml:space="preserve">Traçabilité</w:t>
      </w:r>
      <w:r>
        <w:t xml:space="preserve"> — toute utilisation d'IA sur un document sensible doit pouvoir être expliquée (quel outil, quelles données, quelle validation)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0263F"/>
        </w:rPr>
        <w:t xml:space="preserve">Habilitation</w:t>
      </w:r>
      <w:r>
        <w:t xml:space="preserve"> — seules les personnes autorisées à voir une donnée dans son contexte normal (manager, responsable de dossier) peuvent en voir la version réelle après traitement 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10263F"/>
        </w:rPr>
        <w:t xml:space="preserve">Réversibilité du doute</w:t>
      </w:r>
      <w:r>
        <w:t xml:space="preserve"> — en cas d'incertitude sur le caractère sensible d'une donnée, s'abstenir de la transmettre à l'IA et consulter le référent IA interne</w:t>
      </w:r>
    </w:p>
    <w:p>
      <w:pPr>
        <w:pStyle w:val="Heading1"/>
      </w:pPr>
      <w:r>
        <w:t xml:space="preserve">Article 4 — Classification des données sensibles par secteur d'activité</w:t>
      </w:r>
    </w:p>
    <w:p>
      <w:pPr>
        <w:spacing w:after="160"/>
      </w:pPr>
      <w:r>
        <w:t xml:space="preserve">Le tableau ci-dessous liste, pour les secteurs représentés en formation, les catégories de données à traiter avec la plus grande vigilance.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Secteur d'activité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263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Données sensibles typiques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Banque / Finance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IBAN, RIB, n° carte bancaire, KYC (CNI/passeport), historique de transactions, dossiers de crédit, rapports d'audit interne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Assurance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Dossiers de sinistres, données de santé des assurés, bénéficiaires de contrats, évaluations actuarielles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Santé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Dossiers patients, antécédents médicaux, résultats d'examens, données de remboursement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Industrie / Énergie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Contrats fournisseurs, prix négociés, données de production, infrastructures critiques, rapports HSE/incidents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Port / Logistique / Transport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Manifestes de cargaison, données douanières, valeurs de marchandises, contrats de concession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Administration publique / Diplomatie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Références diplomatiques, identité de hauts fonctionnaires, courriers officiels non validés, plannings protocolaires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Formation / Éducation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Dossiers étudiants (notes, bourses), contrats entreprises partenaires, données RH du personnel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Institutionnel / Chambres de commerce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Répertoires d'entreprises membres, correspondance économique confidentielle, deals en négociation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Distribution / Commerce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Données clients et facturation, marges commerciales, conditions fournisseurs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Transversal (RH, direction, facturation)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État civil, coordonnées, bulletins de salaire, montants et factures, notes stratégiques internes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Article 5 — Ce que l'on peut ou ne peut jamais copier-coller</w:t>
      </w:r>
    </w:p>
    <w:p>
      <w:pPr>
        <w:spacing w:after="160"/>
      </w:pPr>
      <w:r>
        <w:t xml:space="preserve">Règle à retenir : si la donnée permettrait d'identifier une personne, un compte, un contrat ou un secret d'affaires précis, elle passe par un outil d'anonymisation ou pas du tout dans une IA grand public.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Jamais dans un outil IA grand public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D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Possible (anonymisé ou déjà public)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IBAN, RIB, n° carte bancaire, CVV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Texte générique sans identifiant (“rédige un courrier de relance client”)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N° CNI, passeport, référence diplomatique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Chiffres agrégés ou anonymisés (“CA moyen de X FCFA sur 50 dossiers”)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 d'une personne identifiable lié à une donnée sensible (salaire, santé, litige)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Contenu déjà public (communiqué de presse, rapport annuel publié)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Contrats en négociation, prix fournisseurs, marges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Données passées dans PII Guard (tokens anonymisés avant l'IA)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Extraits de dossiers RH, médicaux ou disciplinaires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Questions méthodologiques générales (sans donnée réelle attachée)</w:t>
            </w:r>
          </w:p>
        </w:tc>
      </w:tr>
    </w:tbl>
    <w:p>
      <w:pPr>
        <w:pStyle w:val="Heading1"/>
      </w:pPr>
      <w:r>
        <w:t xml:space="preserve">Article 6 — Le rôle du module d'anonymisation (démonstration en formation)</w:t>
      </w:r>
    </w:p>
    <w:p>
      <w:pPr>
        <w:spacing w:after="160"/>
      </w:pPr>
      <w:r>
        <w:t xml:space="preserve">Lors de la formation, une démonstration technique montre comment une donnée sensible peut être neutralisée avant tout envoi à un modèle d'IA externe, puis restituée en clair uniquement pour la personne habilitée à valider le résultat final. Les principes observés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détection des données sensibles se fait localement, sans appel à un service externe pour cette étape.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données réelles ne transitent vers l'IA que sous forme de repères neutres, jamais en clair.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Seule la personne habilitée (ex. la secrétaire ou le collaborateur à l'origine de la demande) peut voir le document final avec les vraies informations restituées.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 manager ou validateur donne son accord sur la forme et le fond, sans jamais être celui qui transmet la donnée brute à l'IA.</w:t>
      </w:r>
    </w:p>
    <w:p>
      <w:pPr>
        <w:spacing w:after="160"/>
      </w:pPr>
      <w:r>
        <w:t xml:space="preserve">Ce mécanisme s'applique à tout document contenant des données identifiées à l'Article 4 : courriers, comptes rendus, dossiers clients, correspondances officielles.</w:t>
      </w:r>
    </w:p>
    <w:p>
      <w:pPr>
        <w:pStyle w:val="Heading1"/>
      </w:pPr>
      <w:r>
        <w:t xml:space="preserve">Article 7 — Gouvernance et responsabilités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D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D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Collaborateur / utilisateur IA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Applique la règle jamais/anonymisé/public avant tout copier-coller dans un outil 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Référent IA interne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Valide les nouveaux usages IA, tranche les cas ambigus, tient à jour la liste des outils autorisés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Manager / validateur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 relit et n'approuve que la version finale avec données réelles restituées, jamais de saisie directe dans l'IA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Direction générale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Porte la charte, arbitre les sanctions en cas de manquement grave, priorise les budgets d'outillage (ex. PII Guard)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Article 8 — Procédure en cas de doute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 pas transmettre la donnée à l'outil IA tant que le doute persiste.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 référer au tableau de l'Article 4 pour identifier la catégorie de donnée concernée.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Consulter le référent IA interne désigné par la direction avant tout usage non couvert par cette charte.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Signaler tout incident (donnée sensible transmise par erreur à un outil externe) sans délai, pour permettre une action corrective.</w:t>
      </w:r>
    </w:p>
    <w:p>
      <w:pPr>
        <w:pStyle w:val="Heading1"/>
      </w:pPr>
      <w:r>
        <w:t xml:space="preserve">Article 9 — Manquements et révision de la charte</w:t>
      </w:r>
    </w:p>
    <w:p>
      <w:pPr>
        <w:spacing w:after="160"/>
      </w:pPr>
      <w:r>
        <w:t xml:space="preserve">Tout manquement avéré à cette charte relève des procédures internes habituelles (rappel à l'ordre, mesure disciplinaire selon la gravité), sous l'arbitrage de la direction générale. L'objectif reste la prévention : la vigilance individuelle et le réflexe d'anonymisation priment sur la sanction.</w:t>
      </w:r>
    </w:p>
    <w:p>
      <w:pPr>
        <w:spacing w:after="160"/>
      </w:pPr>
      <w:r>
        <w:t xml:space="preserve">Cette charte est révisée au moins une fois par an, ou dès qu'un nouvel usage de l'IA ou une évolution réglementaire le justifie.</w:t>
      </w:r>
    </w:p>
    <w:p>
      <w:pPr>
        <w:pStyle w:val="Heading1"/>
      </w:pPr>
      <w:r>
        <w:t xml:space="preserve">Article 10 — Engagement du participant</w:t>
      </w:r>
    </w:p>
    <w:p>
      <w:pPr>
        <w:spacing w:after="160"/>
      </w:pPr>
      <w:r>
        <w:t xml:space="preserve">En signant ce document, le participant reconnaît avoir pris connaissance des principes de cette charte et s'engage à les appliquer dans le cadre de son activité professionnelle.</w:t>
      </w:r>
    </w:p>
    <w:p>
      <w:pPr>
        <w:spacing w:before="400"/>
      </w:pPr>
      <w:r>
        <w:rPr>
          <w:b/>
          <w:bCs/>
        </w:rPr>
        <w:t xml:space="preserve">Nom et prénom : </w:t>
      </w:r>
      <w:r>
        <w:t xml:space="preserve">_______________________________________</w:t>
      </w:r>
    </w:p>
    <w:p>
      <w:pPr>
        <w:spacing w:before="200"/>
      </w:pPr>
      <w:r>
        <w:rPr>
          <w:b/>
          <w:bCs/>
        </w:rPr>
        <w:t xml:space="preserve">Entreprise / Fonction : </w:t>
      </w:r>
      <w:r>
        <w:t xml:space="preserve">_______________________________________</w:t>
      </w:r>
    </w:p>
    <w:p>
      <w:pPr>
        <w:spacing w:before="200"/>
      </w:pPr>
      <w:r>
        <w:rPr>
          <w:b/>
          <w:bCs/>
        </w:rPr>
        <w:t xml:space="preserve">Date : </w:t>
      </w:r>
      <w:r>
        <w:t xml:space="preserve">_______________________________________</w:t>
      </w:r>
    </w:p>
    <w:p>
      <w:pPr>
        <w:spacing w:after="400" w:before="200"/>
      </w:pPr>
      <w:r>
        <w:rPr>
          <w:b/>
          <w:bCs/>
        </w:rPr>
        <w:t xml:space="preserve">Signature : </w:t>
      </w:r>
      <w:r>
        <w:t xml:space="preserve">_______________________________________</w:t>
      </w:r>
    </w:p>
    <w:p>
      <w:pPr>
        <w:spacing w:before="300"/>
        <w:jc w:val="center"/>
      </w:pPr>
      <w:r>
        <w:rPr>
          <w:i/>
          <w:iCs/>
          <w:color w:val="888888"/>
          <w:sz w:val="18"/>
          <w:szCs w:val="18"/>
        </w:rPr>
        <w:t xml:space="preserve">TransferAI Africa — www.transferai.ci</w:t>
      </w:r>
    </w:p>
    <w:sectPr>
      <w:headerReference w:type="default" r:id="rId7"/>
      <w:footerReference w:type="default" r:id="rId8"/>
      <w:pgSz w:w="12240" w:h="15840" w:orient="portrait"/>
      <w:pgMar w:top="1080" w:right="1080" w:bottom="14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20"/>
      <w:jc w:val="center"/>
    </w:pPr>
    <w:r>
      <w:rPr>
        <w:color w:val="888888"/>
        <w:sz w:val="15"/>
        <w:szCs w:val="15"/>
      </w:rPr>
      <w:t xml:space="preserve">Nettelecomci, Résidence de la Paix, Riviera 3, carrefour Sainte Famille, Abidjan, Côte d'Ivoire</w:t>
    </w:r>
  </w:p>
  <w:p>
    <w:pPr>
      <w:spacing w:after="40"/>
      <w:jc w:val="center"/>
    </w:pPr>
    <w:r>
      <w:rPr>
        <w:color w:val="888888"/>
        <w:sz w:val="15"/>
        <w:szCs w:val="15"/>
      </w:rPr>
      <w:t xml:space="preserve">WhatsApp / Agent IA : +225 07 16 57 39 90   •   www.transferai.ci   •   contact@transferai.ci</w:t>
    </w:r>
  </w:p>
  <w:p>
    <w:pPr>
      <w:jc w:val="center"/>
    </w:pPr>
    <w:r>
      <w:rPr>
        <w:color w:val="AAAAAA"/>
        <w:sz w:val="14"/>
        <w:szCs w:val="14"/>
      </w:rPr>
      <w:t xml:space="preserve">Document remis dans le cadre de la formation TransferAI Africa — Page </w:t>
    </w:r>
    <w:r>
      <w:rPr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AAAAAA"/>
        <w:sz w:val="14"/>
        <w:szCs w:val="14"/>
      </w:rPr>
      <w:t xml:space="preserve"> / </w:t>
    </w:r>
    <w:r>
      <w:rPr>
        <w:color w:val="AAAAA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drawing>
        <wp:anchor distT="0" distB="0" distL="0" distR="0" simplePos="0" allowOverlap="1" behindDoc="1" locked="0" layoutInCell="1" relativeHeight="16002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1600200"/>
          <wp:effectExtent t="0" r="0" b="0" l="0"/>
          <wp:wrapNone/>
          <wp:docPr id="1" name="watermark" descr="Filigrane TransferAI x NettelecomCI" title="Filigra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1600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0" distR="0">
          <wp:extent cx="704850" cy="314325"/>
          <wp:effectExtent t="0" r="0" b="0" l="0"/>
          <wp:docPr id="1" name="header-logo" descr="Logo TransferAI x NettelecomCI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48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0263F"/>
        <w:sz w:val="18"/>
        <w:szCs w:val="18"/>
      </w:rPr>
      <w:t xml:space="preserve">  TransferAI Africa</w:t>
    </w:r>
    <w:r>
      <w:rPr>
        <w:color w:val="666666"/>
        <w:sz w:val="18"/>
        <w:szCs w:val="18"/>
      </w:rPr>
      <w:t xml:space="preserve">	Charte IA — Formation décideurs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920A" w:sz="6" w:space="4"/>
      </w:pBdr>
      <w:spacing w:after="200" w:before="320"/>
      <w:outlineLvl w:val="0"/>
    </w:pPr>
    <w:rPr>
      <w:rFonts w:ascii="Arial" w:cs="Arial" w:eastAsia="Arial" w:hAnsi="Arial"/>
      <w:b/>
      <w:bCs/>
      <w:color w:val="10263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0D7D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20b3281e627f32fcf06a6295a9d8f82cde2c36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20b3281e627f32fcf06a6295a9d8f82cde2c36a.png"/><Relationship Id="rId1" Type="http://schemas.openxmlformats.org/officeDocument/2006/relationships/image" Target="media/8e8039a796f23ccac421f2a4a7aefe509a3572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2026-07-07T19:35:01.841Z</dcterms:created>
  <dcterms:modified xsi:type="dcterms:W3CDTF">2026-07-07T19:35:01.847Z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