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aps/>
          <w:color w:val="555555"/>
          <w:sz w:val="20"/>
          <w:szCs w:val="20"/>
        </w:rPr>
        <w:t xml:space="preserve">Programme de formation</w:t>
      </w:r>
    </w:p>
    <w:p>
      <w:pPr>
        <w:spacing w:after="60"/>
      </w:pPr>
      <w:r>
        <w:rPr>
          <w:b/>
          <w:bCs/>
          <w:color w:val="1A56DB"/>
          <w:sz w:val="44"/>
          <w:szCs w:val="44"/>
        </w:rPr>
        <w:t xml:space="preserve">L’IA au Bureau</w:t>
      </w:r>
    </w:p>
    <w:p>
      <w:pPr>
        <w:spacing w:after="220"/>
      </w:pPr>
      <w:r>
        <w:rPr>
          <w:i/>
          <w:iCs/>
          <w:sz w:val="24"/>
          <w:szCs w:val="24"/>
        </w:rPr>
        <w:t xml:space="preserve">La formation IA pratique qui parle à tous les métiers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pPr>
              <w:spacing w:after="120"/>
            </w:pPr>
            <w:r>
              <w:rPr>
                <w:b/>
                <w:bCs/>
                <w:sz w:val="19"/>
                <w:szCs w:val="19"/>
              </w:rPr>
              <w:t xml:space="preserve">Session 1</w:t>
            </w:r>
          </w:p>
          <w:p>
            <w:pPr>
              <w:spacing w:after="120"/>
            </w:pPr>
            <w:r>
              <w:rPr>
                <w:sz w:val="19"/>
                <w:szCs w:val="19"/>
              </w:rPr>
              <w:t xml:space="preserve">29–30 juillet 2026</w:t>
            </w:r>
          </w:p>
        </w:tc>
        <w:tc>
          <w:tcPr>
            <w:tcW w:type="dxa" w:w="2340"/>
            <w:tcBorders>
              <w:top w:val="single" w:color="CCCCCC" w:sz="1"/>
              <w:left w:val="single" w:color="CCCCCC" w:sz="1"/>
              <w:bottom w:val="single" w:color="CCCCCC" w:sz="1"/>
              <w:right w:val="single" w:color="CCCCCC" w:sz="1"/>
            </w:tcBorders>
            <w:shd w:fill="F0F7FF" w:val="clear"/>
            <w:tcMar>
              <w:top w:type="dxa" w:w="80"/>
              <w:left w:type="dxa" w:w="100"/>
              <w:bottom w:type="dxa" w:w="80"/>
              <w:right w:type="dxa" w:w="100"/>
            </w:tcMar>
          </w:tcPr>
          <w:p>
            <w:pPr>
              <w:spacing w:after="120"/>
            </w:pPr>
            <w:r>
              <w:rPr>
                <w:b/>
                <w:bCs/>
                <w:sz w:val="19"/>
                <w:szCs w:val="19"/>
              </w:rPr>
              <w:t xml:space="preserve">Session 2</w:t>
            </w:r>
          </w:p>
          <w:p>
            <w:pPr>
              <w:spacing w:after="120"/>
            </w:pPr>
            <w:r>
              <w:rPr>
                <w:sz w:val="19"/>
                <w:szCs w:val="19"/>
              </w:rPr>
              <w:t xml:space="preserve">10–11 août 2026</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120"/>
            </w:pPr>
            <w:r>
              <w:rPr>
                <w:b/>
                <w:bCs/>
                <w:sz w:val="19"/>
                <w:szCs w:val="19"/>
              </w:rPr>
              <w:t xml:space="preserve">Format</w:t>
            </w:r>
          </w:p>
          <w:p>
            <w:pPr>
              <w:spacing w:after="120"/>
            </w:pPr>
            <w:r>
              <w:rPr>
                <w:sz w:val="19"/>
                <w:szCs w:val="19"/>
              </w:rPr>
              <w:t xml:space="preserve">2 jours en présentiel</w:t>
            </w:r>
          </w:p>
        </w:tc>
        <w:tc>
          <w:tcPr>
            <w:tcW w:type="dxa" w:w="234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120"/>
            </w:pPr>
            <w:r>
              <w:rPr>
                <w:b/>
                <w:bCs/>
                <w:sz w:val="19"/>
                <w:szCs w:val="19"/>
              </w:rPr>
              <w:t xml:space="preserve">Capacité</w:t>
            </w:r>
          </w:p>
          <w:p>
            <w:pPr>
              <w:spacing w:after="120"/>
            </w:pPr>
            <w:r>
              <w:rPr>
                <w:sz w:val="19"/>
                <w:szCs w:val="19"/>
              </w:rPr>
              <w:t xml:space="preserve">20 participants max. / session</w:t>
            </w:r>
          </w:p>
        </w:tc>
      </w:tr>
    </w:tbl>
    <w:p>
      <w:pPr>
        <w:spacing w:after="120"/>
      </w:pPr>
      <w:r>
        <w:t xml:space="preserve"/>
      </w:r>
    </w:p>
    <w:p>
      <w:pPr>
        <w:spacing w:after="120"/>
      </w:pPr>
      <w:r>
        <w:rPr>
          <w:b/>
          <w:bCs/>
        </w:rPr>
        <w:t xml:space="preserve">Lieu : </w:t>
      </w:r>
      <w:r>
        <w:t xml:space="preserve">Riviera 3, carrefour Sainte Famille, Abidjan, Côte d’Ivoire</w:t>
      </w:r>
      <w:r>
        <w:rPr>
          <w:b/>
          <w:bCs/>
        </w:rPr>
        <w:t xml:space="preserve">    Matériel : </w:t>
      </w:r>
      <w:r>
        <w:t xml:space="preserve">ordinateurs fournis</w:t>
      </w:r>
    </w:p>
    <w:p>
      <w:pPr>
        <w:pStyle w:val="Heading1"/>
      </w:pPr>
      <w:r>
        <w:t xml:space="preserve">Objectif de la formation</w:t>
      </w:r>
    </w:p>
    <w:p>
      <w:pPr>
        <w:spacing w:after="120"/>
      </w:pPr>
      <w:r>
        <w:t xml:space="preserve">Cette formation a pour objectif de permettre aux participants d’utiliser l’intelligence artificielle de manière utile, concrète et responsable dans leurs activités quotidiennes. Elle est pensée pour des environnements où la qualité rédactionnelle, la rapidité d’exécution, la gestion documentaire et la confidentialité des données sont critiques.</w:t>
      </w:r>
    </w:p>
    <w:p>
      <w:pPr>
        <w:spacing w:after="120"/>
      </w:pPr>
      <w:r>
        <w:t xml:space="preserve">Pendant deux jours, les participants apprendront à :</w:t>
      </w:r>
    </w:p>
    <w:p>
      <w:pPr>
        <w:pStyle w:val="ListParagraph"/>
        <w:numPr>
          <w:ilvl w:val="0"/>
          <w:numId w:val="2"/>
        </w:numPr>
        <w:spacing w:after="60"/>
      </w:pPr>
      <w:r>
        <w:t xml:space="preserve">comprendre les principaux outils d’IA générative utiles en contexte professionnel ;</w:t>
      </w:r>
    </w:p>
    <w:p>
      <w:pPr>
        <w:pStyle w:val="ListParagraph"/>
        <w:numPr>
          <w:ilvl w:val="0"/>
          <w:numId w:val="2"/>
        </w:numPr>
        <w:spacing w:after="60"/>
      </w:pPr>
      <w:r>
        <w:t xml:space="preserve">rédiger plus vite des courriers, emails, notes et documents métier ;</w:t>
      </w:r>
    </w:p>
    <w:p>
      <w:pPr>
        <w:pStyle w:val="ListParagraph"/>
        <w:numPr>
          <w:ilvl w:val="0"/>
          <w:numId w:val="2"/>
        </w:numPr>
        <w:spacing w:after="60"/>
      </w:pPr>
      <w:r>
        <w:t xml:space="preserve">produire des comptes rendus, PV, briefings et synthèses avec un meilleur niveau de qualité ;</w:t>
      </w:r>
    </w:p>
    <w:p>
      <w:pPr>
        <w:pStyle w:val="ListParagraph"/>
        <w:numPr>
          <w:ilvl w:val="0"/>
          <w:numId w:val="2"/>
        </w:numPr>
        <w:spacing w:after="60"/>
      </w:pPr>
      <w:r>
        <w:t xml:space="preserve">structurer le classement documentaire et la recherche d’information ;</w:t>
      </w:r>
    </w:p>
    <w:p>
      <w:pPr>
        <w:pStyle w:val="ListParagraph"/>
        <w:numPr>
          <w:ilvl w:val="0"/>
          <w:numId w:val="2"/>
        </w:numPr>
        <w:spacing w:after="60"/>
      </w:pPr>
      <w:r>
        <w:t xml:space="preserve">mettre en place des règles simples d’usage responsable, de validation humaine et de protection des données sensibles.</w:t>
      </w:r>
    </w:p>
    <w:p>
      <w:pPr>
        <w:pStyle w:val="Heading1"/>
      </w:pPr>
      <w:r>
        <w:t xml:space="preserve">Public concerné</w:t>
      </w:r>
    </w:p>
    <w:p>
      <w:pPr>
        <w:spacing w:after="120"/>
      </w:pPr>
      <w:r>
        <w:t xml:space="preserve">La formation s’adresse en priorité aux professionnels des fonctions support, administratives et métier qui manipulent de l’information, de la rédaction, des dossiers et des échanges sensibles. Trois grands profils sont couverts, chacun avec ses propres cas d’usage démontrés en formation (voir la section « Démonstrations concrètes » ci-dessous) :</w:t>
      </w:r>
    </w:p>
    <w:p>
      <w:pPr>
        <w:pStyle w:val="ListParagraph"/>
        <w:numPr>
          <w:ilvl w:val="0"/>
          <w:numId w:val="2"/>
        </w:numPr>
        <w:spacing w:after="60"/>
      </w:pPr>
      <w:r>
        <w:rPr>
          <w:b/>
          <w:bCs/>
        </w:rPr>
        <w:t xml:space="preserve">Fonctions transversales — </w:t>
      </w:r>
      <w:r>
        <w:t xml:space="preserve">ressources humaines, secrétariat, assistanat de direction, marketing et communication, direction générale.</w:t>
      </w:r>
    </w:p>
    <w:p>
      <w:pPr>
        <w:pStyle w:val="ListParagraph"/>
        <w:numPr>
          <w:ilvl w:val="0"/>
          <w:numId w:val="2"/>
        </w:numPr>
        <w:spacing w:after="60"/>
      </w:pPr>
      <w:r>
        <w:rPr>
          <w:b/>
          <w:bCs/>
        </w:rPr>
        <w:t xml:space="preserve">Banque, finance &amp; comptabilité — </w:t>
      </w:r>
      <w:r>
        <w:t xml:space="preserve">chargés de clientèle, comptables, contrôle de gestion, microfinance, assurance, fintech.</w:t>
      </w:r>
    </w:p>
    <w:p>
      <w:pPr>
        <w:pStyle w:val="ListParagraph"/>
        <w:numPr>
          <w:ilvl w:val="0"/>
          <w:numId w:val="2"/>
        </w:numPr>
        <w:spacing w:after="60"/>
      </w:pPr>
      <w:r>
        <w:rPr>
          <w:b/>
          <w:bCs/>
        </w:rPr>
        <w:t xml:space="preserve">Diplomatie &amp; institutions — </w:t>
      </w:r>
      <w:r>
        <w:t xml:space="preserve">administrations publiques, ambassades, consulats, ministères, organisations internationales et ONG.</w:t>
      </w:r>
    </w:p>
    <w:p>
      <w:pPr>
        <w:pStyle w:val="Heading1"/>
      </w:pPr>
      <w:r>
        <w:t xml:space="preserve">Ce qui nous différencie</w:t>
      </w:r>
    </w:p>
    <w:p>
      <w:pPr>
        <w:spacing w:after="120"/>
      </w:pPr>
      <w:r>
        <w:t xml:space="preserve">Beaucoup d’acteurs proposent aujourd’hui des formations en intelligence artificielle en Côte d’Ivoire. La différence ne se joue pas sur le contenu des slides, mais sur ce qui reste concrètement entre les mains du participant et de son organisation une fois la formation terminée.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Diagnostic sur mesure, pas un contenu générique</w:t>
            </w:r>
          </w:p>
          <w:p>
            <w:r>
              <w:rPr>
                <w:sz w:val="20"/>
                <w:szCs w:val="20"/>
              </w:rPr>
              <w:t xml:space="preserve">Chaque participant repart avec une note de cadrage qui identifie ses cas d’usage prioritaires, ses risques et ses premières décisions — construite à partir de sa réalité de terrain, pas d’un support théorique interchangeable.</w:t>
            </w:r>
          </w:p>
        </w:tc>
      </w:tr>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Trajectoire 90 jours, pas une simple sensibilisation</w:t>
            </w:r>
          </w:p>
          <w:p>
            <w:r>
              <w:rPr>
                <w:sz w:val="20"/>
                <w:szCs w:val="20"/>
              </w:rPr>
              <w:t xml:space="preserve">Chaque organisation repart avec un plan d’action daté, des jalons, des indicateurs de performance et des responsables identifiés, défendable devant une direction dès le lendemain.</w:t>
            </w:r>
          </w:p>
        </w:tc>
      </w:tr>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Un cas d’usage réel automatisé, pas une démonstration</w:t>
            </w:r>
          </w:p>
          <w:p>
            <w:r>
              <w:rPr>
                <w:sz w:val="20"/>
                <w:szCs w:val="20"/>
              </w:rPr>
              <w:t xml:space="preserve">Pendant les ateliers, les équipes construisent et font tourner un flux d’intelligence artificielle sur leur propre cas d’usage métier — elles ne regardent pas un outil fonctionner sur un exemple générique.</w:t>
            </w:r>
          </w:p>
        </w:tc>
      </w:tr>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Gouvernance intégrée, pas une zone grise</w:t>
            </w:r>
          </w:p>
          <w:p>
            <w:r>
              <w:rPr>
                <w:sz w:val="20"/>
                <w:szCs w:val="20"/>
              </w:rPr>
              <w:t xml:space="preserve">Confidentialité, anonymisation des données sensibles et validation humaine sont intégrées dès la formation, dans une charte que l’organisation peut diffuser immédiatement à ses équipes.</w:t>
            </w:r>
          </w:p>
        </w:tc>
      </w:tr>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Un accompagnement qui continue après la formation</w:t>
            </w:r>
          </w:p>
          <w:p>
            <w:r>
              <w:rPr>
                <w:sz w:val="20"/>
                <w:szCs w:val="20"/>
              </w:rPr>
              <w:t xml:space="preserve">La certification n’arrête pas la relation, elle l’ouvre : 90 jours de suivi expert, relecture des indicateurs, ajustement du pilote et décision d’extension appuyée sur des données réelles.</w:t>
            </w:r>
          </w:p>
        </w:tc>
      </w:tr>
      <w:tr>
        <w:tc>
          <w:tcPr>
            <w:tcW w:type="dxa" w:w="700"/>
            <w:tcBorders>
              <w:top w:val="single" w:color="CCCCCC" w:sz="1"/>
              <w:left w:val="single" w:color="CCCCCC" w:sz="1"/>
              <w:bottom w:val="single" w:color="CCCCCC" w:sz="1"/>
              <w:right w:val="single" w:color="CCCCCC" w:sz="1"/>
            </w:tcBorders>
            <w:shd w:fill="F0F7FF" w:val="clear"/>
            <w:tcMar>
              <w:top w:type="dxa" w:w="100"/>
              <w:left w:type="dxa" w:w="100"/>
              <w:bottom w:type="dxa" w:w="100"/>
              <w:right w:type="dxa" w:w="100"/>
            </w:tcMar>
            <w:vAlign w:val="center"/>
          </w:tcPr>
          <w:p>
            <w:pPr>
              <w:jc w:val="center"/>
            </w:pPr>
            <w:r>
              <w:rPr>
                <w:sz w:val="32"/>
                <w:szCs w:val="32"/>
              </w:rPr>
              <w:t xml:space="preserve">🌐</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Une infrastructure prête à l’usage, pas un frein technique</w:t>
            </w:r>
          </w:p>
          <w:p>
            <w:r>
              <w:rPr>
                <w:sz w:val="20"/>
                <w:szCs w:val="20"/>
              </w:rPr>
              <w:t xml:space="preserve">Sur demande, TransferAI Africa migre les systèmes et les données vers le cloud avant même le démarrage de la formation, pour automatiser sur une base saine plutôt que sur des données cloisonnées.</w:t>
            </w:r>
          </w:p>
        </w:tc>
      </w:tr>
    </w:tbl>
    <w:p>
      <w:pPr>
        <w:pStyle w:val="Heading1"/>
      </w:pPr>
      <w:r>
        <w:t xml:space="preserve">Programme détaillé</w:t>
      </w:r>
    </w:p>
    <w:p>
      <w:pPr>
        <w:pStyle w:val="Heading2"/>
      </w:pPr>
      <w:r>
        <w:t xml:space="preserve">Jour 1 — Fondations IA et correspondance professionnelle</w:t>
      </w:r>
    </w:p>
    <w:p>
      <w:pPr>
        <w:pStyle w:val="Heading3"/>
      </w:pPr>
      <w:r>
        <w:t xml:space="preserve">09h00 – 10h30 | Panorama IA et confidentialité</w:t>
      </w:r>
    </w:p>
    <w:p>
      <w:pPr>
        <w:pStyle w:val="ListParagraph"/>
        <w:numPr>
          <w:ilvl w:val="0"/>
          <w:numId w:val="2"/>
        </w:numPr>
        <w:spacing w:after="60"/>
      </w:pPr>
      <w:r>
        <w:t xml:space="preserve">panorama des outils utiles : ChatGPT, Copilot, Gemini ;</w:t>
      </w:r>
    </w:p>
    <w:p>
      <w:pPr>
        <w:pStyle w:val="ListParagraph"/>
        <w:numPr>
          <w:ilvl w:val="0"/>
          <w:numId w:val="2"/>
        </w:numPr>
        <w:spacing w:after="60"/>
      </w:pPr>
      <w:r>
        <w:t xml:space="preserve">comprendre les forces, limites et risques de l’IA générative ;</w:t>
      </w:r>
    </w:p>
    <w:p>
      <w:pPr>
        <w:pStyle w:val="ListParagraph"/>
        <w:numPr>
          <w:ilvl w:val="0"/>
          <w:numId w:val="2"/>
        </w:numPr>
        <w:spacing w:after="60"/>
      </w:pPr>
      <w:r>
        <w:t xml:space="preserve">ce qu’il ne faut jamais mettre dans un prompt ;</w:t>
      </w:r>
    </w:p>
    <w:p>
      <w:pPr>
        <w:pStyle w:val="ListParagraph"/>
        <w:numPr>
          <w:ilvl w:val="0"/>
          <w:numId w:val="2"/>
        </w:numPr>
        <w:spacing w:after="60"/>
      </w:pPr>
      <w:r>
        <w:t xml:space="preserve">démonstration d’un prompt risqué versus un prompt sécurisé.</w:t>
      </w:r>
    </w:p>
    <w:p>
      <w:pPr>
        <w:pStyle w:val="Heading3"/>
      </w:pPr>
      <w:r>
        <w:t xml:space="preserve">10h45 – 12h30 | Courriers, emails et documents par métier</w:t>
      </w:r>
    </w:p>
    <w:p>
      <w:pPr>
        <w:pStyle w:val="ListParagraph"/>
        <w:numPr>
          <w:ilvl w:val="0"/>
          <w:numId w:val="2"/>
        </w:numPr>
        <w:spacing w:after="60"/>
      </w:pPr>
      <w:r>
        <w:t xml:space="preserve">rédaction assistée de courriers professionnels ;</w:t>
      </w:r>
    </w:p>
    <w:p>
      <w:pPr>
        <w:pStyle w:val="ListParagraph"/>
        <w:numPr>
          <w:ilvl w:val="0"/>
          <w:numId w:val="2"/>
        </w:numPr>
        <w:spacing w:after="60"/>
      </w:pPr>
      <w:r>
        <w:t xml:space="preserve">génération et amélioration d’emails sensibles ;</w:t>
      </w:r>
    </w:p>
    <w:p>
      <w:pPr>
        <w:pStyle w:val="ListParagraph"/>
        <w:numPr>
          <w:ilvl w:val="0"/>
          <w:numId w:val="2"/>
        </w:numPr>
        <w:spacing w:after="60"/>
      </w:pPr>
      <w:r>
        <w:t xml:space="preserve">adaptation du ton et du format selon le contexte métier ;</w:t>
      </w:r>
    </w:p>
    <w:p>
      <w:pPr>
        <w:pStyle w:val="ListParagraph"/>
        <w:numPr>
          <w:ilvl w:val="0"/>
          <w:numId w:val="2"/>
        </w:numPr>
        <w:spacing w:after="60"/>
      </w:pPr>
      <w:r>
        <w:t xml:space="preserve">cas appliqués RH, finance, secrétariat / diplomatie, marketing.</w:t>
      </w:r>
    </w:p>
    <w:p>
      <w:pPr>
        <w:pStyle w:val="Heading3"/>
      </w:pPr>
      <w:r>
        <w:t xml:space="preserve">14h00 – 15h30 | Réunions, agendas et briefings</w:t>
      </w:r>
    </w:p>
    <w:p>
      <w:pPr>
        <w:pStyle w:val="ListParagraph"/>
        <w:numPr>
          <w:ilvl w:val="0"/>
          <w:numId w:val="2"/>
        </w:numPr>
        <w:spacing w:after="60"/>
      </w:pPr>
      <w:r>
        <w:t xml:space="preserve">préparer un ordre du jour avec l’IA ;</w:t>
      </w:r>
    </w:p>
    <w:p>
      <w:pPr>
        <w:pStyle w:val="ListParagraph"/>
        <w:numPr>
          <w:ilvl w:val="0"/>
          <w:numId w:val="2"/>
        </w:numPr>
        <w:spacing w:after="60"/>
      </w:pPr>
      <w:r>
        <w:t xml:space="preserve">construire un briefing exploitable avant une réunion ;</w:t>
      </w:r>
    </w:p>
    <w:p>
      <w:pPr>
        <w:pStyle w:val="ListParagraph"/>
        <w:numPr>
          <w:ilvl w:val="0"/>
          <w:numId w:val="2"/>
        </w:numPr>
        <w:spacing w:after="60"/>
      </w:pPr>
      <w:r>
        <w:t xml:space="preserve">structurer les informations utiles pour la direction ;</w:t>
      </w:r>
    </w:p>
    <w:p>
      <w:pPr>
        <w:pStyle w:val="ListParagraph"/>
        <w:numPr>
          <w:ilvl w:val="0"/>
          <w:numId w:val="2"/>
        </w:numPr>
        <w:spacing w:after="60"/>
      </w:pPr>
      <w:r>
        <w:t xml:space="preserve">cas pratiques : comité de crédit en banque et revue de performance RH.</w:t>
      </w:r>
    </w:p>
    <w:p>
      <w:pPr>
        <w:pStyle w:val="Heading3"/>
      </w:pPr>
      <w:r>
        <w:t xml:space="preserve">15h45 – 17h00 | Comptes rendus et procès-verbaux</w:t>
      </w:r>
    </w:p>
    <w:p>
      <w:pPr>
        <w:pStyle w:val="ListParagraph"/>
        <w:numPr>
          <w:ilvl w:val="0"/>
          <w:numId w:val="2"/>
        </w:numPr>
        <w:spacing w:after="60"/>
      </w:pPr>
      <w:r>
        <w:t xml:space="preserve">transformer des notes brutes en compte rendu professionnel ;</w:t>
      </w:r>
    </w:p>
    <w:p>
      <w:pPr>
        <w:pStyle w:val="ListParagraph"/>
        <w:numPr>
          <w:ilvl w:val="0"/>
          <w:numId w:val="2"/>
        </w:numPr>
        <w:spacing w:after="60"/>
      </w:pPr>
      <w:r>
        <w:t xml:space="preserve">produire un PV clair, fiable et actionnable ;</w:t>
      </w:r>
    </w:p>
    <w:p>
      <w:pPr>
        <w:pStyle w:val="ListParagraph"/>
        <w:numPr>
          <w:ilvl w:val="0"/>
          <w:numId w:val="2"/>
        </w:numPr>
        <w:spacing w:after="60"/>
      </w:pPr>
      <w:r>
        <w:t xml:space="preserve">faire ressortir décisions, responsables et échéances ;</w:t>
      </w:r>
    </w:p>
    <w:p>
      <w:pPr>
        <w:pStyle w:val="ListParagraph"/>
        <w:numPr>
          <w:ilvl w:val="0"/>
          <w:numId w:val="2"/>
        </w:numPr>
        <w:spacing w:after="60"/>
      </w:pPr>
      <w:r>
        <w:t xml:space="preserve">bonnes pratiques de relecture et de validation humaine.</w:t>
      </w:r>
    </w:p>
    <w:p>
      <w:pPr>
        <w:pStyle w:val="Heading2"/>
      </w:pPr>
      <w:r>
        <w:t xml:space="preserve">Jour 2 — Gestion documentaire, synthèse et IA responsable</w:t>
      </w:r>
    </w:p>
    <w:p>
      <w:pPr>
        <w:pStyle w:val="Heading3"/>
      </w:pPr>
      <w:r>
        <w:t xml:space="preserve">09h00 – 10h30 | Classement, archivage et GED</w:t>
      </w:r>
    </w:p>
    <w:p>
      <w:pPr>
        <w:pStyle w:val="ListParagraph"/>
        <w:numPr>
          <w:ilvl w:val="0"/>
          <w:numId w:val="2"/>
        </w:numPr>
        <w:spacing w:after="60"/>
      </w:pPr>
      <w:r>
        <w:t xml:space="preserve">structurer des dossiers avec l’IA ;</w:t>
      </w:r>
    </w:p>
    <w:p>
      <w:pPr>
        <w:pStyle w:val="ListParagraph"/>
        <w:numPr>
          <w:ilvl w:val="0"/>
          <w:numId w:val="2"/>
        </w:numPr>
        <w:spacing w:after="60"/>
      </w:pPr>
      <w:r>
        <w:t xml:space="preserve">accélérer le classement et la recherche documentaire ;</w:t>
      </w:r>
    </w:p>
    <w:p>
      <w:pPr>
        <w:pStyle w:val="ListParagraph"/>
        <w:numPr>
          <w:ilvl w:val="0"/>
          <w:numId w:val="2"/>
        </w:numPr>
        <w:spacing w:after="60"/>
      </w:pPr>
      <w:r>
        <w:t xml:space="preserve">organiser des bases utiles à la gestion quotidienne ;</w:t>
      </w:r>
    </w:p>
    <w:p>
      <w:pPr>
        <w:pStyle w:val="ListParagraph"/>
        <w:numPr>
          <w:ilvl w:val="0"/>
          <w:numId w:val="2"/>
        </w:numPr>
        <w:spacing w:after="60"/>
      </w:pPr>
      <w:r>
        <w:t xml:space="preserve">cas appliqués : dossiers RH, clients banque, archives diplomatiques, marchés publics.</w:t>
      </w:r>
    </w:p>
    <w:p>
      <w:pPr>
        <w:pStyle w:val="Heading3"/>
      </w:pPr>
      <w:r>
        <w:t xml:space="preserve">10h45 – 12h30 | Notes de synthèse, rapports et présentations</w:t>
      </w:r>
    </w:p>
    <w:p>
      <w:pPr>
        <w:pStyle w:val="ListParagraph"/>
        <w:numPr>
          <w:ilvl w:val="0"/>
          <w:numId w:val="2"/>
        </w:numPr>
        <w:spacing w:after="60"/>
      </w:pPr>
      <w:r>
        <w:t xml:space="preserve">résumer efficacement un dossier long ;</w:t>
      </w:r>
    </w:p>
    <w:p>
      <w:pPr>
        <w:pStyle w:val="ListParagraph"/>
        <w:numPr>
          <w:ilvl w:val="0"/>
          <w:numId w:val="2"/>
        </w:numPr>
        <w:spacing w:after="60"/>
      </w:pPr>
      <w:r>
        <w:t xml:space="preserve">transformer 50 pages en une note utile à la décision ;</w:t>
      </w:r>
    </w:p>
    <w:p>
      <w:pPr>
        <w:pStyle w:val="ListParagraph"/>
        <w:numPr>
          <w:ilvl w:val="0"/>
          <w:numId w:val="2"/>
        </w:numPr>
        <w:spacing w:after="60"/>
      </w:pPr>
      <w:r>
        <w:t xml:space="preserve">produire un rapport ou une présentation à partir d’un brief ;</w:t>
      </w:r>
    </w:p>
    <w:p>
      <w:pPr>
        <w:pStyle w:val="ListParagraph"/>
        <w:numPr>
          <w:ilvl w:val="0"/>
          <w:numId w:val="2"/>
        </w:numPr>
        <w:spacing w:after="60"/>
      </w:pPr>
      <w:r>
        <w:t xml:space="preserve">construire une première trame PowerPoint avec l’IA.</w:t>
      </w:r>
    </w:p>
    <w:p>
      <w:pPr>
        <w:pStyle w:val="Heading3"/>
      </w:pPr>
      <w:r>
        <w:t xml:space="preserve">14h00 – 15h30 | Bibliothèque de prompts et charte interne IA</w:t>
      </w:r>
    </w:p>
    <w:p>
      <w:pPr>
        <w:pStyle w:val="ListParagraph"/>
        <w:numPr>
          <w:ilvl w:val="0"/>
          <w:numId w:val="2"/>
        </w:numPr>
        <w:spacing w:after="60"/>
      </w:pPr>
      <w:r>
        <w:t xml:space="preserve">constituer une bibliothèque de prompts par métier ;</w:t>
      </w:r>
    </w:p>
    <w:p>
      <w:pPr>
        <w:pStyle w:val="ListParagraph"/>
        <w:numPr>
          <w:ilvl w:val="0"/>
          <w:numId w:val="2"/>
        </w:numPr>
        <w:spacing w:after="60"/>
      </w:pPr>
      <w:r>
        <w:t xml:space="preserve">définir les bons réflexes de confidentialité ;</w:t>
      </w:r>
    </w:p>
    <w:p>
      <w:pPr>
        <w:pStyle w:val="ListParagraph"/>
        <w:numPr>
          <w:ilvl w:val="0"/>
          <w:numId w:val="2"/>
        </w:numPr>
        <w:spacing w:after="60"/>
      </w:pPr>
      <w:r>
        <w:t xml:space="preserve">élaborer une mini-charte interne d’usage de l’IA ;</w:t>
      </w:r>
    </w:p>
    <w:p>
      <w:pPr>
        <w:pStyle w:val="ListParagraph"/>
        <w:numPr>
          <w:ilvl w:val="0"/>
          <w:numId w:val="2"/>
        </w:numPr>
        <w:spacing w:after="60"/>
      </w:pPr>
      <w:r>
        <w:t xml:space="preserve">mettre en place une check-list simple de protection des données.</w:t>
      </w:r>
    </w:p>
    <w:p>
      <w:pPr>
        <w:pStyle w:val="Heading3"/>
      </w:pPr>
      <w:r>
        <w:t xml:space="preserve">15h30 – 17h00 | Mise en situation finale et remise des livrables</w:t>
      </w:r>
    </w:p>
    <w:p>
      <w:pPr>
        <w:pStyle w:val="ListParagraph"/>
        <w:numPr>
          <w:ilvl w:val="0"/>
          <w:numId w:val="2"/>
        </w:numPr>
        <w:spacing w:after="60"/>
      </w:pPr>
      <w:r>
        <w:t xml:space="preserve">cas pratique de fin de formation ;</w:t>
      </w:r>
    </w:p>
    <w:p>
      <w:pPr>
        <w:pStyle w:val="ListParagraph"/>
        <w:numPr>
          <w:ilvl w:val="0"/>
          <w:numId w:val="2"/>
        </w:numPr>
        <w:spacing w:after="60"/>
      </w:pPr>
      <w:r>
        <w:t xml:space="preserve">mise en application sur un scénario métier ;</w:t>
      </w:r>
    </w:p>
    <w:p>
      <w:pPr>
        <w:pStyle w:val="ListParagraph"/>
        <w:numPr>
          <w:ilvl w:val="0"/>
          <w:numId w:val="2"/>
        </w:numPr>
        <w:spacing w:after="60"/>
      </w:pPr>
      <w:r>
        <w:t xml:space="preserve">restitution des productions ;</w:t>
      </w:r>
    </w:p>
    <w:p>
      <w:pPr>
        <w:pStyle w:val="ListParagraph"/>
        <w:numPr>
          <w:ilvl w:val="0"/>
          <w:numId w:val="2"/>
        </w:numPr>
        <w:spacing w:after="60"/>
      </w:pPr>
      <w:r>
        <w:t xml:space="preserve">remise des supports et livrables.</w:t>
      </w:r>
    </w:p>
    <w:p>
      <w:pPr>
        <w:pStyle w:val="Heading1"/>
      </w:pPr>
      <w:r>
        <w:t xml:space="preserve">Démonstrations concrètes intégrées à la formation</w:t>
      </w:r>
    </w:p>
    <w:p>
      <w:pPr>
        <w:spacing w:after="120"/>
      </w:pPr>
      <w:r>
        <w:t xml:space="preserve">La formation s’appuie sur des démonstrations réelles, déjà construites et fonctionnelles (workflows d’automatisation en production), afin de montrer des usages concrets au-delà des slides.</w:t>
      </w:r>
    </w:p>
    <w:p>
      <w:pPr>
        <w:pStyle w:val="Heading2"/>
      </w:pPr>
      <w:r>
        <w:t xml:space="preserve">Cas transversaux — montrés à tous les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1</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Courrier automatique avec validation humaine</w:t>
            </w:r>
          </w:p>
          <w:p>
            <w:r>
              <w:rPr>
                <w:sz w:val="20"/>
                <w:szCs w:val="20"/>
              </w:rPr>
              <w:t xml:space="preserve">Un webhook reçoit une demande, l’IA rédige un projet de courrier, un manager valide par email avant l’envoi final — vos équipes gagnent jusqu’à 80 % du temps de rédaction sans jamais perdre le contrôle final.</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2</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Anonymisation des données sensibles avant appel IA</w:t>
            </w:r>
          </w:p>
          <w:p>
            <w:r>
              <w:rPr>
                <w:sz w:val="20"/>
                <w:szCs w:val="20"/>
              </w:rPr>
              <w:t xml:space="preserve">Les informations critiques (IBAN, identité, montants, référence diplomatique…) sont masquées par des tokens avant d’atteindre l’IA, puis restaurées après validation humaine — aucune donnée sensible réelle ne quitte jamais vos murs vers l’IA.</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3</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Compte rendu de réunion automatique</w:t>
            </w:r>
          </w:p>
          <w:p>
            <w:r>
              <w:rPr>
                <w:sz w:val="20"/>
                <w:szCs w:val="20"/>
              </w:rPr>
              <w:t xml:space="preserve">Un fichier audio déposé est transcrit puis transformé en compte rendu structuré : décisions, actions, responsables et échéances, validé en un clic.</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4</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Recherche documentaire intelligente (RAG)</w:t>
            </w:r>
          </w:p>
          <w:p>
            <w:r>
              <w:rPr>
                <w:sz w:val="20"/>
                <w:szCs w:val="20"/>
              </w:rPr>
              <w:t xml:space="preserve">Une question en langage naturel retrouve la bonne information dans toute votre base documentaire, sources citées à l’appui — des milliers de documents interrogés en quelques secondes.</w:t>
            </w:r>
          </w:p>
        </w:tc>
      </w:tr>
    </w:tbl>
    <w:p>
      <w:pPr>
        <w:spacing w:after="120"/>
      </w:pPr>
      <w:r>
        <w:t xml:space="preserve"/>
      </w:r>
    </w:p>
    <w:p>
      <w:pPr>
        <w:pStyle w:val="Heading2"/>
      </w:pPr>
      <w:r>
        <w:t xml:space="preserve">Cas sectoriels — activés selon votre secteur d’activité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5</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Traduction officielle bilingue avec relecture qualité — Diplomatie &amp; Institutions</w:t>
            </w:r>
          </w:p>
          <w:p>
            <w:r>
              <w:rPr>
                <w:sz w:val="20"/>
                <w:szCs w:val="20"/>
              </w:rPr>
              <w:t xml:space="preserve">Traduction automatique de documents officiels suivie d’une relecture qualité automatisée, pour un document bilingue assemblé et prêt à l’emploi — la correspondance diplomatique et institutionnelle multilingue traitée en une fraction du temps habituel.</w:t>
            </w:r>
          </w:p>
        </w:tc>
      </w:tr>
      <w:tr>
        <w:tc>
          <w:tcPr>
            <w:tcW w:type="dxa" w:w="700"/>
            <w:tcBorders>
              <w:top w:val="single" w:color="CCCCCC" w:sz="1"/>
              <w:left w:val="single" w:color="CCCCCC" w:sz="1"/>
              <w:bottom w:val="single" w:color="CCCCCC" w:sz="1"/>
              <w:right w:val="single" w:color="CCCCCC" w:sz="1"/>
            </w:tcBorders>
            <w:shd w:fill="F9FAFB" w:val="clear"/>
            <w:tcMar>
              <w:top w:type="dxa" w:w="100"/>
              <w:left w:type="dxa" w:w="100"/>
              <w:bottom w:type="dxa" w:w="100"/>
              <w:right w:type="dxa" w:w="100"/>
            </w:tcMar>
            <w:vAlign w:val="center"/>
          </w:tcPr>
          <w:p>
            <w:pPr>
              <w:jc w:val="center"/>
            </w:pPr>
            <w:r>
              <w:rPr>
                <w:b/>
                <w:bCs/>
              </w:rPr>
              <w:t xml:space="preserve">🏦
6</w:t>
            </w:r>
          </w:p>
        </w:tc>
        <w:tc>
          <w:tcPr>
            <w:tcW w:type="dxa" w:w="8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b/>
                <w:bCs/>
                <w:color w:val="1A56DB"/>
              </w:rPr>
              <w:t xml:space="preserve">Dossier de crédit / KYC assisté par IA + veille réglementaire BCEAO-UEMOA — Banque, Finance &amp; Comptabilité</w:t>
            </w:r>
          </w:p>
          <w:p>
            <w:r>
              <w:rPr>
                <w:sz w:val="20"/>
                <w:szCs w:val="20"/>
              </w:rPr>
              <w:t xml:space="preserve">Anonymisation du dossier client, synthèse automatique prête pour comité de crédit, restitution des vraies données après validation humaine, et veille réglementaire BCEAO/UEMOA/ARTCI automatique, classée et résumée en moins de 5 minutes par signal — vos dossiers de crédit et synthèses de conformité en une fraction du temps, sans qu’aucune donnée client ne quitte votre structure.</w:t>
            </w:r>
          </w:p>
        </w:tc>
      </w:tr>
    </w:tbl>
    <w:p>
      <w:pPr>
        <w:pStyle w:val="Heading1"/>
      </w:pPr>
      <w:r>
        <w:t xml:space="preserve">Ce que vous repartez avec</w:t>
      </w:r>
    </w:p>
    <w:p>
      <w:pPr>
        <w:pStyle w:val="Heading2"/>
      </w:pPr>
      <w:r>
        <w:t xml:space="preserve">Pour chaque participant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Attestation de formation TransferAI &amp; Nettelecom CI</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Kit de prompts / templates IA adaptés à votre métier</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Support PDF complet de formation</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Bibliothèque de prompts métier, classée par domaine</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Check-list de protection des données sensibles</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Mini-charte interne d’usage de l’IA</w:t>
            </w:r>
          </w:p>
        </w:tc>
      </w:tr>
    </w:tbl>
    <w:p>
      <w:pPr>
        <w:spacing w:after="120"/>
      </w:pPr>
      <w:r>
        <w:t xml:space="preserve"/>
      </w:r>
    </w:p>
    <w:p>
      <w:pPr>
        <w:pStyle w:val="Heading2"/>
      </w:pPr>
      <w:r>
        <w:t xml:space="preserve">Pour votre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Note de Cadrage IA personnalisée</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Plan d’Action à 90 jours (jalons, indicateurs, responsables)</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Un premier Flux IA Opérationnel, construit sur votre cas d’usage réel</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Charte d’Usage de l’IA sur mesure</w:t>
            </w:r>
          </w:p>
        </w:tc>
      </w:tr>
      <w:tr>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Certification reconnue par le réseau NettelecomCI + 90 jours de suivi expert</w:t>
            </w:r>
          </w:p>
        </w:tc>
        <w:tc>
          <w:tcPr>
            <w:tcW w:type="dxa" w:w="4680"/>
            <w:tcBorders>
              <w:top w:val="single" w:color="CCCCCC" w:sz="1"/>
              <w:left w:val="single" w:color="CCCCCC" w:sz="1"/>
              <w:bottom w:val="single" w:color="CCCCCC" w:sz="1"/>
              <w:right w:val="single" w:color="CCCCCC" w:sz="1"/>
            </w:tcBorders>
            <w:tcMar>
              <w:top w:type="dxa" w:w="90"/>
              <w:left w:type="dxa" w:w="130"/>
              <w:bottom w:type="dxa" w:w="90"/>
              <w:right w:type="dxa" w:w="130"/>
            </w:tcMar>
          </w:tcPr>
          <w:p>
            <w:r>
              <w:t xml:space="preserve">🌐  </w:t>
            </w:r>
            <w:r>
              <w:rPr>
                <w:b/>
                <w:bCs/>
                <w:sz w:val="21"/>
                <w:szCs w:val="21"/>
              </w:rPr>
              <w:t xml:space="preserve">Migration Cloud de vos données sur demande (sur devis, avant la formation)</w:t>
            </w:r>
          </w:p>
        </w:tc>
      </w:tr>
    </w:tbl>
    <w:p>
      <w:pPr>
        <w:pStyle w:val="Heading1"/>
      </w:pPr>
      <w:r>
        <w:t xml:space="preserve">Tarifs</w:t>
      </w:r>
    </w:p>
    <w:p>
      <w:pPr>
        <w:pStyle w:val="ListParagraph"/>
        <w:numPr>
          <w:ilvl w:val="0"/>
          <w:numId w:val="2"/>
        </w:numPr>
        <w:spacing w:after="60"/>
      </w:pPr>
      <w:r>
        <w:rPr>
          <w:b/>
          <w:bCs/>
        </w:rPr>
        <w:t xml:space="preserve">1 participant : </w:t>
      </w:r>
      <w:r>
        <w:t xml:space="preserve">250 000 F CFA</w:t>
      </w:r>
    </w:p>
    <w:p>
      <w:pPr>
        <w:pStyle w:val="ListParagraph"/>
        <w:numPr>
          <w:ilvl w:val="0"/>
          <w:numId w:val="2"/>
        </w:numPr>
        <w:spacing w:after="60"/>
      </w:pPr>
      <w:r>
        <w:rPr>
          <w:b/>
          <w:bCs/>
        </w:rPr>
        <w:t xml:space="preserve">Inscriptions groupe : </w:t>
      </w:r>
      <w:r>
        <w:t xml:space="preserve">tarif dégressif</w:t>
      </w:r>
    </w:p>
    <w:p>
      <w:pPr>
        <w:pStyle w:val="ListParagraph"/>
        <w:numPr>
          <w:ilvl w:val="0"/>
          <w:numId w:val="2"/>
        </w:numPr>
        <w:spacing w:after="60"/>
      </w:pPr>
      <w:r>
        <w:rPr>
          <w:b/>
          <w:bCs/>
        </w:rPr>
        <w:t xml:space="preserve">6 à 10 participants : </w:t>
      </w:r>
      <w:r>
        <w:t xml:space="preserve">165 000 à 185 000 F CFA par participant selon configuration</w:t>
      </w:r>
    </w:p>
    <w:p>
      <w:pPr>
        <w:pStyle w:val="ListParagraph"/>
        <w:numPr>
          <w:ilvl w:val="0"/>
          <w:numId w:val="2"/>
        </w:numPr>
        <w:spacing w:after="60"/>
      </w:pPr>
      <w:r>
        <w:rPr>
          <w:b/>
          <w:bCs/>
        </w:rPr>
        <w:t xml:space="preserve">10 participants et plus / session intra-entreprise : </w:t>
      </w:r>
      <w:r>
        <w:t xml:space="preserve">sur devis à partir de 3 500 000 F CFA</w:t>
      </w:r>
    </w:p>
    <w:p>
      <w:pPr>
        <w:pStyle w:val="Heading1"/>
      </w:pPr>
      <w:r>
        <w:t xml:space="preserve">Équipe mobilisée</w:t>
      </w:r>
    </w:p>
    <w:p>
      <w:pPr>
        <w:spacing w:after="120"/>
      </w:pPr>
      <w:r>
        <w:t xml:space="preserve">La formation est animée par une équipe de 5 experts couvrant notamment :</w:t>
      </w:r>
    </w:p>
    <w:p>
      <w:pPr>
        <w:pStyle w:val="ListParagraph"/>
        <w:numPr>
          <w:ilvl w:val="0"/>
          <w:numId w:val="2"/>
        </w:numPr>
        <w:spacing w:after="60"/>
      </w:pPr>
      <w:r>
        <w:t xml:space="preserve">IA et automatisation ;</w:t>
      </w:r>
    </w:p>
    <w:p>
      <w:pPr>
        <w:pStyle w:val="ListParagraph"/>
        <w:numPr>
          <w:ilvl w:val="0"/>
          <w:numId w:val="2"/>
        </w:numPr>
        <w:spacing w:after="60"/>
      </w:pPr>
      <w:r>
        <w:t xml:space="preserve">agents IA et workflows ;</w:t>
      </w:r>
    </w:p>
    <w:p>
      <w:pPr>
        <w:pStyle w:val="ListParagraph"/>
        <w:numPr>
          <w:ilvl w:val="0"/>
          <w:numId w:val="2"/>
        </w:numPr>
        <w:spacing w:after="60"/>
      </w:pPr>
      <w:r>
        <w:t xml:space="preserve">diplomatie appliquée à l’IA ;</w:t>
      </w:r>
    </w:p>
    <w:p>
      <w:pPr>
        <w:pStyle w:val="ListParagraph"/>
        <w:numPr>
          <w:ilvl w:val="0"/>
          <w:numId w:val="2"/>
        </w:numPr>
        <w:spacing w:after="60"/>
      </w:pPr>
      <w:r>
        <w:t xml:space="preserve">audit et coaching ;</w:t>
      </w:r>
    </w:p>
    <w:p>
      <w:pPr>
        <w:pStyle w:val="ListParagraph"/>
        <w:numPr>
          <w:ilvl w:val="0"/>
          <w:numId w:val="2"/>
        </w:numPr>
        <w:spacing w:after="60"/>
      </w:pPr>
      <w:r>
        <w:t xml:space="preserve">data engineering et cloud.</w:t>
      </w:r>
    </w:p>
    <w:p>
      <w:pPr>
        <w:pStyle w:val="Heading1"/>
      </w:pPr>
      <w:r>
        <w:t xml:space="preserve">Points forts du dispositif</w:t>
      </w:r>
    </w:p>
    <w:p>
      <w:pPr>
        <w:pStyle w:val="ListParagraph"/>
        <w:numPr>
          <w:ilvl w:val="0"/>
          <w:numId w:val="2"/>
        </w:numPr>
        <w:spacing w:after="60"/>
      </w:pPr>
      <w:r>
        <w:t xml:space="preserve">formation courte, concrète et directement exploitable ;</w:t>
      </w:r>
    </w:p>
    <w:p>
      <w:pPr>
        <w:pStyle w:val="ListParagraph"/>
        <w:numPr>
          <w:ilvl w:val="0"/>
          <w:numId w:val="2"/>
        </w:numPr>
        <w:spacing w:after="60"/>
      </w:pPr>
      <w:r>
        <w:t xml:space="preserve">cas d’usage adaptés aux réalités métier, y compris sectoriels (banque, diplomatie) ;</w:t>
      </w:r>
    </w:p>
    <w:p>
      <w:pPr>
        <w:pStyle w:val="ListParagraph"/>
        <w:numPr>
          <w:ilvl w:val="0"/>
          <w:numId w:val="2"/>
        </w:numPr>
        <w:spacing w:after="60"/>
      </w:pPr>
      <w:r>
        <w:t xml:space="preserve">approche responsable centrée sur la confidentialité et la validation humaine ;</w:t>
      </w:r>
    </w:p>
    <w:p>
      <w:pPr>
        <w:pStyle w:val="ListParagraph"/>
        <w:numPr>
          <w:ilvl w:val="0"/>
          <w:numId w:val="2"/>
        </w:numPr>
        <w:spacing w:after="60"/>
      </w:pPr>
      <w:r>
        <w:t xml:space="preserve">démonstrations réelles de workflows et d’automatisation ;</w:t>
      </w:r>
    </w:p>
    <w:p>
      <w:pPr>
        <w:pStyle w:val="ListParagraph"/>
        <w:numPr>
          <w:ilvl w:val="0"/>
          <w:numId w:val="2"/>
        </w:numPr>
        <w:spacing w:after="60"/>
      </w:pPr>
      <w:r>
        <w:t xml:space="preserve">livrables individuels et organisationnels réutilisables dès la fin de la session.</w:t>
      </w:r>
    </w:p>
    <w:p>
      <w:pPr>
        <w:pStyle w:val="Heading1"/>
      </w:pPr>
      <w:r>
        <w:t xml:space="preserve">Message clé</w:t>
      </w:r>
    </w:p>
    <w:p>
      <w:pPr>
        <w:spacing w:after="120"/>
      </w:pPr>
      <w:r>
        <w:rPr>
          <w:i/>
          <w:iCs/>
        </w:rPr>
        <w:t xml:space="preserve">L’IA assiste les professionnels dans leurs tâches, mais ne remplace ni la validation humaine, ni le secret professionnel, ni la responsabilité métier.</w:t>
      </w:r>
    </w:p>
    <w:p>
      <w:pPr>
        <w:pBdr>
          <w:bottom w:val="single" w:color="1A56DB" w:sz="6" w:space="1"/>
        </w:pBdr>
        <w:spacing w:after="200" w:before="100"/>
      </w:pPr>
    </w:p>
    <w:p>
      <w:pPr>
        <w:spacing w:after="120"/>
      </w:pPr>
      <w:r>
        <w:rPr>
          <w:b/>
          <w:bCs/>
        </w:rPr>
        <w:t xml:space="preserve">Confirmer votre inscription : </w:t>
      </w:r>
      <w:r>
        <w:t xml:space="preserve">formulaire en ligne — https://docs.google.com/forms/d/e/1FAIpQLSf8qtoXBTusqppHwdIoVfyXX9n12UbKBg34_bmAyxNzFPC_xA/viewform</w:t>
      </w:r>
    </w:p>
    <w:p>
      <w:pPr>
        <w:spacing w:after="120"/>
      </w:pPr>
      <w:r>
        <w:rPr>
          <w:b/>
          <w:bCs/>
        </w:rPr>
        <w:t xml:space="preserve">Réserver un appel : </w:t>
      </w:r>
      <w:r>
        <w:t xml:space="preserve">https://calendly.com/contact-transferai/appel-decouverte-formation-ia-pratique</w:t>
      </w:r>
    </w:p>
    <w:p>
      <w:pPr>
        <w:spacing w:after="120"/>
      </w:pPr>
      <w:r>
        <w:rPr>
          <w:b/>
          <w:bCs/>
        </w:rPr>
        <w:t xml:space="preserve">WhatsApp &amp; Agent IA : </w:t>
      </w:r>
      <w:r>
        <w:t xml:space="preserve">+225 07 16 57 39 90</w:t>
      </w:r>
    </w:p>
    <w:p>
      <w:pPr>
        <w:spacing w:after="120"/>
      </w:pPr>
      <w:r>
        <w:rPr>
          <w:b/>
          <w:bCs/>
        </w:rPr>
        <w:t xml:space="preserve">Email : </w:t>
      </w:r>
      <w:r>
        <w:t xml:space="preserve">contact@transferai.ci</w:t>
      </w:r>
      <w:r>
        <w:rPr>
          <w:b/>
          <w:bCs/>
        </w:rPr>
        <w:t xml:space="preserve">    Site : </w:t>
      </w:r>
      <w:r>
        <w:t xml:space="preserve">www.transferai.ci</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6D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11111"/>
      <w:sz w:val="24"/>
      <w:szCs w:val="24"/>
    </w:rPr>
  </w:style>
  <w:style w:type="paragraph" w:styleId="Heading3">
    <w:name w:val="Heading 3"/>
    <w:basedOn w:val="Normal"/>
    <w:next w:val="Normal"/>
    <w:qFormat/>
    <w:pPr>
      <w:spacing w:after="90" w:before="180"/>
      <w:outlineLvl w:val="2"/>
    </w:pPr>
    <w:rPr>
      <w:rFonts w:ascii="Arial" w:cs="Arial" w:eastAsia="Arial" w:hAnsi="Arial"/>
      <w:b/>
      <w:bCs/>
      <w:color w:val="1A56D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2026-07-03T20:05:03.426Z</dcterms:created>
  <dcterms:modified xsi:type="dcterms:W3CDTF">2026-07-03T20:05:03.426Z</dcterms:modified>
</cp:coreProperties>
</file>

<file path=docProps/custom.xml><?xml version="1.0" encoding="utf-8"?>
<Properties xmlns="http://schemas.openxmlformats.org/officeDocument/2006/custom-properties" xmlns:vt="http://schemas.openxmlformats.org/officeDocument/2006/docPropsVTypes"/>
</file>