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52"/>
          <w:szCs w:val="52"/>
        </w:rPr>
        <w:t xml:space="preserve">GUIDE UTILISATEUR</w:t>
      </w:r>
    </w:p>
    <w:p>
      <w:pPr>
        <w:spacing w:after="400" w:before="200"/>
        <w:jc w:val="center"/>
      </w:pPr>
      <w:r>
        <w:rPr>
          <w:b/>
          <w:bCs/>
          <w:color w:val="2E75B6"/>
          <w:sz w:val="30"/>
          <w:szCs w:val="30"/>
        </w:rPr>
        <w:t xml:space="preserve">Comprendre et utiliser le RAG documentaire de TransferAI Africa</w:t>
      </w:r>
    </w:p>
    <w:p>
      <w:pPr>
        <w:spacing w:after="120"/>
        <w:jc w:val="center"/>
      </w:pPr>
      <w:r>
        <w:rPr>
          <w:i/>
          <w:iCs/>
          <w:color w:val="595959"/>
          <w:sz w:val="24"/>
          <w:szCs w:val="24"/>
        </w:rPr>
        <w:t xml:space="preserve">Support pédagogique — Formation « L'IA au Bureau »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Abidjan — Juillet / Août 2026</w:t>
      </w:r>
    </w:p>
    <w:p>
      <w:pPr>
        <w:spacing w:before="1200"/>
        <w:jc w:val="center"/>
      </w:pPr>
      <w:r>
        <w:rPr>
          <w:color w:val="595959"/>
          <w:sz w:val="20"/>
          <w:szCs w:val="20"/>
        </w:rPr>
        <w:t xml:space="preserve">TransferAI Africa — Hub IA de NettelecomCI</w:t>
      </w:r>
    </w:p>
    <w:p>
      <w:pPr>
        <w:jc w:val="center"/>
      </w:pPr>
      <w:r>
        <w:rPr>
          <w:color w:val="595959"/>
          <w:sz w:val="18"/>
          <w:szCs w:val="18"/>
        </w:rPr>
        <w:t xml:space="preserve">Document mis à jour le 04 juillet 2026</w:t>
      </w:r>
    </w:p>
    <w:p>
      <w:r>
        <w:br w:type="page"/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Qu'est-ce qu'un RAG ?</w:t>
      </w:r>
    </w:p>
    <w:p>
      <w:pPr>
        <w:spacing w:after="160"/>
      </w:pPr>
      <w:r>
        <w:t xml:space="preserve">RAG signifie « Retrieval-Augmented Generation », soit en français « génération augmentée par récupération d'information ». C'est aujourd'hui l'une des architectures d'intelligence artificielle les plus utilisées en entreprise, car elle résout un problème très concret : comment faire en sorte qu'une IA réponde avec des informations exactes, à jour et propres à une organisation, plutôt qu'avec des connaissances génériques ou approximatives.</w:t>
      </w:r>
    </w:p>
    <w:p>
      <w:pPr>
        <w:spacing w:after="160"/>
      </w:pPr>
      <w:r>
        <w:t xml:space="preserve">Un système RAG combine deux briques complémentaires 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récupération (« Retrieval ») : avant de répondre, le système va chercher, dans une base documentaire propre à l'organisation, les passages les plus pertinents par rapport à la question posée.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génération augmentée (« Augmented Generation ») : un modèle de langage (comme GPT) rédige ensuite une réponse en s'appuyant explicitement sur ces passages, au lieu d'inventer une réponse à partir de ses seules connaissances générales.</w:t>
      </w:r>
    </w:p>
    <w:p>
      <w:pPr>
        <w:pBdr>
          <w:left w:val="single" w:color="2E75B6" w:sz="18" w:space="8"/>
        </w:pBdr>
        <w:spacing w:after="160" w:before="120"/>
        <w:ind w:left="480"/>
      </w:pPr>
      <w:r>
        <w:rPr>
          <w:i/>
          <w:iCs/>
          <w:color w:val="595959"/>
        </w:rPr>
        <w:t xml:space="preserve">En résumé : un RAG, c'est un moteur de recherche interne couplé à un rédacteur intelligent — la recherche garantit l'exactitude, la génération garantit la clarté et le naturel de la réponse.</w:t>
      </w:r>
    </w:p>
    <w:p>
      <w:pPr>
        <w:pStyle w:val="Heading2"/>
      </w:pPr>
      <w:r>
        <w:t xml:space="preserve">1.1 Comment ça fonctionne concrètement ?</w:t>
      </w:r>
    </w:p>
    <w:p>
      <w:pPr>
        <w:spacing w:after="160"/>
      </w:pPr>
      <w:r>
        <w:t xml:space="preserve">Le fonctionnement d'un RAG suit toujours quatre étapes 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Ingestion : les documents de référence (procédures, guides, catalogues, argumentaires...) sont découpés en petits morceaux de texte (des « chunks »).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Vectorisation (embeddings) : chaque morceau de texte est transformé en une suite de nombres (un « vecteur ») qui représente son sens. Deux textes proches en signification auront des vecteurs proches, même s'ils n'utilisent pas les mêmes mots.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Recherche par similarité : quand une question arrive, elle est elle aussi transformée en vecteur, puis comparée mathématiquement à tous les vecteurs déjà stockés pour retrouver les morceaux de texte les plus proches en signification.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Génération de la réponse : les morceaux retrouvés sont transmis à un modèle de langage, qui rédige une réponse claire en citant ou en s'appuyant sur ces sources.</w:t>
      </w:r>
    </w:p>
    <w:p>
      <w:pPr>
        <w:pStyle w:val="Heading2"/>
      </w:pPr>
      <w:r>
        <w:t xml:space="preserve">1.2 En quoi un RAG est différent d'un chatbot classique ou d'un moteur de recherche ?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500"/>
        <w:gridCol w:w="29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Moteur de recherche classique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Chatbot IA générique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Système RAG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Source des réponses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Liste de liens à ouvrir soi-même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Connaissances générales du modèle, potentiellement datées ou approximatives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Documents internes réels et à jour de l'organisation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Format de la réponse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Résultats bruts à trier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Texte rédigé mais non vérifiable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Texte rédigé, ancré dans des sources identifiables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Mise à jour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Dépend de l'indexation du moteur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Nécessite un ré-entraînement du modèle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Il suffit d'ajouter un document à la base pour qu'il soit pris en compte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Pourquoi le RAG est-il utile dans les métiers aujourd'hui ?</w:t>
      </w:r>
    </w:p>
    <w:p>
      <w:pPr>
        <w:spacing w:after="160"/>
      </w:pPr>
      <w:r>
        <w:t xml:space="preserve">Le RAG n'est pas une technologie réservée à l'informatique : c'est un outil transversal qui transforme la façon de travailler dans de nombreux métiers, en donnant à chacun un accès instantané et fiable à la connaissance de son organisation.</w:t>
      </w:r>
    </w:p>
    <w:p>
      <w:pPr>
        <w:pStyle w:val="Heading2"/>
      </w:pPr>
      <w:r>
        <w:t xml:space="preserve">2.1 Des cas d'usage concrets, secteur par secteur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client et service après-vente : répondre instantanément aux questions des clients à partir des vraies procédures internes, sans attendre qu'un agent humain soit disponible.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Vente et prospection commerciale : retrouver en quelques secondes l'argumentaire, le tarif ou la référence client adaptés à une situation précise.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Ressources humaines : permettre aux collaborateurs de retrouver eux-mêmes une réponse dans la convention collective, le règlement intérieur ou les procédures RH.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Juridique et conformité : rechercher rapidement une clause, une réglementation ou un précédent dans un corpus de textes volumineux.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Santé : aider le personnel soignant à retrouver un protocole ou une posologie dans la documentation médicale validée par l'établissement.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Secteur public et administrations : orienter les usagers vers la bonne procédure à partir des textes réglementaires en vigueur.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Formation et pédagogie : permettre à un apprenant de poser une question sur un support de cours et d'obtenir une réponse sourcée, plutôt que de devoir rechercher manuellement dans des dizaines de pages.</w:t>
      </w:r>
    </w:p>
    <w:p>
      <w:pPr>
        <w:pStyle w:val="Heading2"/>
      </w:pPr>
      <w:r>
        <w:t xml:space="preserve">2.2 Trois bénéfices clés à retenir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Bénéfice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Ce que cela signifie en pratique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Précision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 réponse s'appuie sur de vrais documents de l'organisation, pas sur des connaissances générales potentiellement fausses ou obsolètes.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Fraîcheur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Il suffit d'ajouter ou de mettre à jour un document pour que l'IA en tienne compte — pas besoin de reprogrammer ou de réentraîner un modèle.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Traçabilité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Chaque réponse peut être reliée à sa source documentaire, ce qui permet de vérifier et de faire confiance à l'information fournie.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2.3 Un exemple vivant : le RAG de TransferAI Africa</w:t>
      </w:r>
    </w:p>
    <w:p>
      <w:pPr>
        <w:spacing w:after="160"/>
      </w:pPr>
      <w:r>
        <w:t xml:space="preserve">Dans le cadre de la formation « L'IA au Bureau » organisée par TransferAI Africa à Abidjan en juillet et août 2026, le système RAG documentaire présenté dans ce guide sert d'exemple pédagogique concret : il est utilisé en conditions réelles pour répondre automatiquement aux questions des prospects et clients de TransferAI, avec escalade vers un conseiller humain lorsque l'information n'est pas trouvée.</w:t>
      </w:r>
    </w:p>
    <w:p>
      <w:pPr>
        <w:spacing w:after="160"/>
      </w:pPr>
      <w:r>
        <w:t xml:space="preserve">Ce cas d'usage illustre pour les participants de la formation, de façon très concrète, comment une organisation — quel que soit son secteur — peut construire son propre assistant IA fiable à partir de ses documents internes, sans expertise technique poussée, en s'appuyant sur des outils d'automatisation comme n8n, une base de données comme Supabase, et un modèle de langage comme GPT.</w:t>
      </w:r>
    </w:p>
    <w:p>
      <w:r>
        <w:br w:type="page"/>
      </w:r>
    </w:p>
    <w:p>
      <w:pPr>
        <w:pStyle w:val="Heading1"/>
      </w:pPr>
      <w:r>
        <w:t xml:space="preserve">3. Les deux workflows qui composent le système RAG de TransferAI</w:t>
      </w:r>
    </w:p>
    <w:p>
      <w:pPr>
        <w:spacing w:after="160"/>
      </w:pPr>
      <w:r>
        <w:t xml:space="preserve">Le système RAG documentaire de TransferAI repose sur deux automatisations (« workflows ») construites avec l'outil n8n, qui fonctionnent en tandem : l'une alimente la base de connaissances, l'autre l'interroge pour répondre aux questions.</w:t>
      </w:r>
    </w:p>
    <w:p>
      <w:pPr>
        <w:pStyle w:val="Heading2"/>
      </w:pPr>
      <w:r>
        <w:t xml:space="preserve">3.1 Ingestion_Documents_Drive_Recursif — l'alimentation de la base de connaissances</w:t>
      </w:r>
    </w:p>
    <w:p>
      <w:pPr>
        <w:spacing w:after="160"/>
      </w:pPr>
      <w:r>
        <w:t xml:space="preserve">Ce workflow a pour rôle de transformer les documents stockés dans Google Drive en une base de connaissances interrogeable par l'IA. Il se déclenche automatiquement toutes les 6 heures.</w:t>
      </w:r>
    </w:p>
    <w:p>
      <w:pPr>
        <w:pStyle w:val="Heading3"/>
      </w:pPr>
      <w:r>
        <w:t xml:space="preserve">Son fonctionnement, étape par étape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Il parcourt 8 dossiers Google Drive de référence (le dossier racine et 7 sous-dossiers thématiques : procédures internes, réglementation, guides de formation, workflows d'automatisation, prospection CRM, decks sectoriels, base de connaissances).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Il liste tous les fichiers présents dans ces dossiers.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Il ne conserve que les fichiers réellement exploitables en texte (documents et feuilles de calcul Google natifs, fichiers .txt, .md et .csv) — les fichiers binaires comme les .docx, .pdf ou présentations Google Slides brutes sont automatiquement écartés, car leur contenu ne peut pas être extrait proprement en texte par ce pipeline.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Il télécharge le contenu de chaque fichier retenu.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Il découpe chaque document en petits morceaux de texte d'environ 800 caractères, avec un léger chevauchement entre chaque morceau pour ne pas couper une idée en plein milieu.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Il transforme chaque morceau en vecteur numérique (embedding) via l'API d'OpenAI.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Il enregistre chaque morceau, avec son vecteur, dans la table « documents » de la base de données Supabase — en mettant à jour les entrées déjà existantes plutôt que de créer des doublons.</w:t>
      </w:r>
    </w:p>
    <w:p>
      <w:pPr>
        <w:pBdr>
          <w:left w:val="single" w:color="2E75B6" w:sz="18" w:space="8"/>
        </w:pBdr>
        <w:spacing w:after="160" w:before="120"/>
        <w:ind w:left="480"/>
      </w:pPr>
      <w:r>
        <w:rPr>
          <w:i/>
          <w:iCs/>
          <w:color w:val="595959"/>
        </w:rPr>
        <w:t xml:space="preserve">Point important : pour qu'un document soit bien exploité par ce pipeline, la convention en vigueur chez TransferAI est de toujours déposer, à côté d'un fichier .docx ou .pptx destiné à la lecture humaine, un fichier .txt contenant le texte déjà extrait proprement — c'est ce fichier .txt qui est réellement utilisé par le système.</w:t>
      </w:r>
    </w:p>
    <w:p>
      <w:pPr>
        <w:pStyle w:val="Heading2"/>
      </w:pPr>
      <w:r>
        <w:t xml:space="preserve">3.2 Recherche_Documentaire_RAG_v4_complet — la recherche et la génération de réponse</w:t>
      </w:r>
    </w:p>
    <w:p>
      <w:pPr>
        <w:spacing w:after="160"/>
      </w:pPr>
      <w:r>
        <w:t xml:space="preserve">Ce workflow est celui qui répond en temps réel aux questions posées par les prospects et clients de TransferAI, via WhatsApp, e-mail ou chat. Contrairement au premier workflow, il ne se déclenche pas automatiquement toutes les X heures : il est appelé instantanément à chaque question reçue, via un mécanisme technique appelé « webhook ».</w:t>
      </w:r>
    </w:p>
    <w:p>
      <w:pPr>
        <w:pStyle w:val="Heading3"/>
      </w:pPr>
      <w:r>
        <w:t xml:space="preserve">Son fonctionnement, étape par étape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 question posée par le prospect ou le client est reçue et extraite.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Cette question est transformée en vecteur numérique, de la même façon que les documents lors de l'ingestion.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Le système recherche, dans la table « documents », les 5 passages dont le sens est le plus proche de la question posée.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 des passages suffisamment pertinents sont trouvés : leur contenu est nettoyé de toute information personnelle sensible avant d'être transmis à l'IA, qui rédige une réponse claire en s'appuyant sur ces passages ; les informations réelles sont ensuite réintégrées dans la réponse finale, puis celle-ci est envoyée au prospect.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 aucun passage suffisamment pertinent n'est trouvé : la question est automatiquement transmise à un conseiller humain via l'outil Chatwoot, afin qu'aucune question ne reste sans réponse fiable.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Chaque échange, qu'il ait été traité par l'IA ou escaladé à un humain, est enregistré pour garder une trace de l'activité.</w:t>
      </w:r>
    </w:p>
    <w:p>
      <w:r>
        <w:br w:type="page"/>
      </w:r>
    </w:p>
    <w:p>
      <w:pPr>
        <w:pStyle w:val="Heading1"/>
      </w:pPr>
      <w:r>
        <w:t xml:space="preserve">4. Comment utiliser le système au quotidien</w:t>
      </w:r>
    </w:p>
    <w:p>
      <w:pPr>
        <w:pStyle w:val="Heading2"/>
      </w:pPr>
      <w:r>
        <w:t xml:space="preserve">4.1 Ajouter un nouveau document à la base de connaissances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Déposer le document dans l'un des 8 dossiers Google Drive surveillés, selon sa thématique.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 le document est un .docx, .pptx ou tout autre format non natif Google, générer et déposer à côté un fichier .txt contenant le texte extrait proprement (par exemple avec l'outil pandoc, ou toute méthode d'extraction de texte fiable).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Attendre le prochain cycle automatique d'ingestion (jusqu'à 6 heures), ou demander un déclenchement manuel du workflow via l'éditeur n8n si une prise en compte plus rapide est nécessaire.</w:t>
      </w:r>
    </w:p>
    <w:p>
      <w:pPr>
        <w:pStyle w:val="Heading2"/>
      </w:pPr>
      <w:r>
        <w:t xml:space="preserve">4.2 Ce qu'il ne faut jamais déposer dans ces dossiers</w:t>
      </w:r>
    </w:p>
    <w:p>
      <w:pPr>
        <w:spacing w:after="160"/>
      </w:pPr>
      <w:r>
        <w:t xml:space="preserve">Le système ne filtre pas le contenu par niveau de confidentialité : tout document déposé dans l'un des 8 dossiers surveillés peut potentiellement être cité dans une réponse à un prospect externe. Il ne faut donc jamais y déposer 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 tarifs internes non destinés à être communiqués tels quels,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 argumentaires commerciaux strictement internes,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 identifiants techniques, mots de passe ou informations d'accès,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 données personnelles de tiers non anonymisées.</w:t>
      </w:r>
    </w:p>
    <w:p>
      <w:pPr>
        <w:pStyle w:val="Heading2"/>
      </w:pPr>
      <w:r>
        <w:t xml:space="preserve">4.3 Délai de prise en compte</w:t>
      </w:r>
    </w:p>
    <w:p>
      <w:pPr>
        <w:spacing w:after="160"/>
      </w:pPr>
      <w:r>
        <w:t xml:space="preserve">Un nouveau document déposé aujourd'hui sera automatiquement pris en compte par le système RAG dans un délai maximum de 6 heures, correspondant au cycle d'exécution automatique du workflow d'ingestion. Un déclenchement manuel immédiat reste possible depuis l'éditeur n8n pour les cas urgents.</w:t>
      </w:r>
    </w:p>
    <w:p>
      <w:r>
        <w:br w:type="page"/>
      </w:r>
    </w:p>
    <w:p>
      <w:pPr>
        <w:pStyle w:val="Heading1"/>
      </w:pPr>
      <w:r>
        <w:t xml:space="preserve">5. Points clés à retenir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 RAG combine une recherche documentaire intelligente et une IA rédactionnelle pour produire des réponses fiables et sourcées.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 n'est pas réservé à l'informatique : tous les métiers peuvent en bénéficier dès qu'ils s'appuient sur une documentation de référence.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Chez TransferAI, deux workflows n8n travaillent en tandem : l'un alimente la base documentaire (Ingestion), l'autre répond aux questions en s'appuyant dessus (Recherche RAG).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 qualité des réponses dépend directement de la qualité et de la mise à jour des documents déposés dans les dossiers Drive surveillés.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Toute question sans réponse fiable trouvée est automatiquement transmise à un conseiller humain — le système ne laisse jamais un prospect sans suite.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TransferAI Africa — Guide Utilisateur RAG Documentaire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2026-07-04T18:31:50.524Z</dcterms:created>
  <dcterms:modified xsi:type="dcterms:W3CDTF">2026-07-04T18:31:50.524Z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