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52"/>
          <w:szCs w:val="52"/>
        </w:rPr>
        <w:t xml:space="preserve">GUIDE DE TROUBLESHOOTING</w:t>
      </w:r>
    </w:p>
    <w:p>
      <w:pPr>
        <w:spacing w:after="400" w:before="200"/>
        <w:jc w:val="center"/>
      </w:pPr>
      <w:r>
        <w:rPr>
          <w:b/>
          <w:bCs/>
          <w:color w:val="2E75B6"/>
          <w:sz w:val="28"/>
          <w:szCs w:val="28"/>
        </w:rPr>
        <w:t xml:space="preserve">Ingestion Documents Drive &amp; Recherche Documentaire RAG</w:t>
      </w:r>
    </w:p>
    <w:p>
      <w:pPr>
        <w:spacing w:after="600"/>
        <w:jc w:val="center"/>
      </w:pPr>
      <w:r>
        <w:rPr>
          <w:i/>
          <w:iCs/>
          <w:color w:val="595959"/>
          <w:sz w:val="22"/>
          <w:szCs w:val="22"/>
        </w:rPr>
        <w:t xml:space="preserve">Diagnostic, corrections appliquées et procédures de vérification</w:t>
      </w:r>
    </w:p>
    <w:p>
      <w:pPr>
        <w:spacing w:before="1200"/>
        <w:jc w:val="center"/>
      </w:pPr>
      <w:r>
        <w:rPr>
          <w:color w:val="595959"/>
          <w:sz w:val="20"/>
          <w:szCs w:val="20"/>
        </w:rPr>
        <w:t xml:space="preserve">TransferAI Africa — Hub IA de NettelecomCI</w:t>
      </w:r>
    </w:p>
    <w:p>
      <w:pPr>
        <w:jc w:val="center"/>
      </w:pPr>
      <w:r>
        <w:rPr>
          <w:color w:val="595959"/>
          <w:sz w:val="18"/>
          <w:szCs w:val="18"/>
        </w:rPr>
        <w:t xml:space="preserve">Document mis à jour le 04 juillet 2026</w:t>
      </w:r>
    </w:p>
    <w:p>
      <w:r>
        <w:br w:type="page"/>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Vue d'ensemble des problèmes identifiés et corrigés</w:t>
      </w:r>
    </w:p>
    <w:p>
      <w:pPr>
        <w:spacing w:after="160"/>
      </w:pPr>
      <w:r>
        <w:t xml:space="preserve">Un audit complet des deux workflows a été réalisé le 04 juillet 2026. Le tableau ci-dessous résume les problèmes trouvés, leur cause et la correction appliquée. Le détail de chaque point est développé dans les sections suivantes.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00"/>
      </w:tblGrid>
      <w:tr>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Problème</w:t>
            </w:r>
          </w:p>
        </w:tc>
        <w:tc>
          <w:tcPr>
            <w:tcW w:type="dxa" w:w="33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Cause</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Correction appliquée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Doublons potentiels dans la table documents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Absence du paramètre on_conflict sur l'insertion Supabase : le mécanisme d'upsert n'avait aucune cible de conflit définie</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Ajout de ?on_conflict=source_id,chunk_index sur l'URL d'insertion, associé à une contrainte unique déjà existante en base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Contenu illisible pour les Google Slides</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Conversion par défaut des Slides en PDF ou PowerPoint (binaire), puis lu comme texte brut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Configuration explicite de la conversion (Docs → Text, Sheets → CSV) ; les Slides natifs sont désormais exclus en amont</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Fichiers binaires (.docx, .pdf) ingérés comme texte corrompu</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Aucun filtre sur le type de fichier avant téléchargement</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Filtre ajouté sur le type MIME : seuls les formats exploitables en texte sont conservés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Faux document « SKIP » inséré dans la base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Le code renvoyait un item factice quand aucun chunk n'était produit sur une exécution</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Le code renvoie désormais un tableau vide plutôt qu'un item factice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Interruption totale du pipeline sur une erreur ponctuelle</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Aucune tolérance aux erreurs sur les appels Google Drive / OpenAI</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Activation du retry automatique et de la poursuite d'exécution en cas d'échec sur les nœuds concernés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Clés secrètes exposées publiquement sur GitHub</w:t>
            </w:r>
          </w:p>
        </w:tc>
        <w:tc>
          <w:tcPr>
            <w:tcW w:type="dxa" w:w="3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Clés Supabase service_role, OpenAI et Resend codées en dur dans des fichiers de configuration versionnés</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Rotation complète des clés (voir section 4) ; nettoyage de l'historique du dépôt planifié séparément</w:t>
            </w:r>
          </w:p>
        </w:tc>
      </w:tr>
    </w:tbl>
    <w:p>
      <w:pPr>
        <w:spacing w:after="160"/>
      </w:pPr>
      <w:r>
        <w:t xml:space="preserve"/>
      </w:r>
    </w:p>
    <w:p>
      <w:r>
        <w:br w:type="page"/>
      </w:r>
    </w:p>
    <w:p>
      <w:pPr>
        <w:pStyle w:val="Heading1"/>
      </w:pPr>
      <w:r>
        <w:t xml:space="preserve">2. Diagnostic pas à pas dans n8n</w:t>
      </w:r>
    </w:p>
    <w:p>
      <w:pPr>
        <w:pStyle w:val="Heading2"/>
      </w:pPr>
      <w:r>
        <w:t xml:space="preserve">2.1 Vérifier qu'une exécution automatique s'est bien déroulée</w:t>
      </w:r>
    </w:p>
    <w:p>
      <w:pPr>
        <w:pStyle w:val="ListParagraph"/>
        <w:numPr>
          <w:ilvl w:val="0"/>
          <w:numId w:val="2"/>
        </w:numPr>
        <w:spacing w:after="100"/>
      </w:pPr>
      <w:r>
        <w:t xml:space="preserve">Ouvrir le workflow concerné dans n8n.</w:t>
      </w:r>
    </w:p>
    <w:p>
      <w:pPr>
        <w:pStyle w:val="ListParagraph"/>
        <w:numPr>
          <w:ilvl w:val="0"/>
          <w:numId w:val="2"/>
        </w:numPr>
        <w:spacing w:after="100"/>
      </w:pPr>
      <w:r>
        <w:t xml:space="preserve">Cliquer sur l'onglet « Executions » en haut de l'écran.</w:t>
      </w:r>
    </w:p>
    <w:p>
      <w:pPr>
        <w:pStyle w:val="ListParagraph"/>
        <w:numPr>
          <w:ilvl w:val="0"/>
          <w:numId w:val="2"/>
        </w:numPr>
        <w:spacing w:after="100"/>
      </w:pPr>
      <w:r>
        <w:t xml:space="preserve">Repérer la ligne correspondant à l'heure attendue du dernier cycle automatique.</w:t>
      </w:r>
    </w:p>
    <w:p>
      <w:pPr>
        <w:pStyle w:val="ListParagraph"/>
        <w:numPr>
          <w:ilvl w:val="0"/>
          <w:numId w:val="2"/>
        </w:numPr>
        <w:spacing w:after="100"/>
      </w:pPr>
      <w:r>
        <w:t xml:space="preserve">Un statut « Succeeded » en vert confirme une exécution réussie ; un statut « Error » en rouge indique un problème à investiguer.</w:t>
      </w:r>
    </w:p>
    <w:p>
      <w:pPr>
        <w:pStyle w:val="ListParagraph"/>
        <w:numPr>
          <w:ilvl w:val="0"/>
          <w:numId w:val="2"/>
        </w:numPr>
        <w:spacing w:after="100"/>
      </w:pPr>
      <w:r>
        <w:t xml:space="preserve">Cliquer sur une exécution en erreur affiche le nœud fautif directement sur le canvas, avec un message d'erreur en bas à droite de l'écran.</w:t>
      </w:r>
    </w:p>
    <w:p>
      <w:pPr>
        <w:pStyle w:val="Heading2"/>
      </w:pPr>
      <w:r>
        <w:t xml:space="preserve">2.2 Tester un nœud isolément (« Execute step »)</w:t>
      </w:r>
    </w:p>
    <w:p>
      <w:pPr>
        <w:spacing w:after="160"/>
      </w:pPr>
      <w:r>
        <w:t xml:space="preserve">Pour vérifier le bon fonctionnement d'un nœud précis sans relancer tout le workflow :</w:t>
      </w:r>
    </w:p>
    <w:p>
      <w:pPr>
        <w:pStyle w:val="ListParagraph"/>
        <w:numPr>
          <w:ilvl w:val="0"/>
          <w:numId w:val="2"/>
        </w:numPr>
        <w:spacing w:after="100"/>
      </w:pPr>
      <w:r>
        <w:t xml:space="preserve">Double-cliquer sur le nœud à tester pour l'ouvrir.</w:t>
      </w:r>
    </w:p>
    <w:p>
      <w:pPr>
        <w:pStyle w:val="ListParagraph"/>
        <w:numPr>
          <w:ilvl w:val="0"/>
          <w:numId w:val="2"/>
        </w:numPr>
        <w:spacing w:after="100"/>
      </w:pPr>
      <w:r>
        <w:t xml:space="preserve">Si le nœud n'a pas de données d'entrée disponibles, cliquer sur « Execute previous nodes » pour générer des données réelles en amont.</w:t>
      </w:r>
    </w:p>
    <w:p>
      <w:pPr>
        <w:pStyle w:val="ListParagraph"/>
        <w:numPr>
          <w:ilvl w:val="0"/>
          <w:numId w:val="2"/>
        </w:numPr>
        <w:spacing w:after="100"/>
      </w:pPr>
      <w:r>
        <w:t xml:space="preserve">Cliquer sur le bouton rouge « Execute step » en haut à droite du panneau.</w:t>
      </w:r>
    </w:p>
    <w:p>
      <w:pPr>
        <w:pStyle w:val="ListParagraph"/>
        <w:numPr>
          <w:ilvl w:val="0"/>
          <w:numId w:val="2"/>
        </w:numPr>
        <w:spacing w:after="100"/>
      </w:pPr>
      <w:r>
        <w:t xml:space="preserve">Le résultat s'affiche dans le panneau OUTPUT à droite : données obtenues en cas de succès, message d'erreur détaillé en cas d'échec.</w:t>
      </w:r>
    </w:p>
    <w:p>
      <w:pPr>
        <w:pBdr>
          <w:left w:val="single" w:color="B23B3B" w:sz="18" w:space="8"/>
        </w:pBdr>
        <w:spacing w:after="160" w:before="120"/>
        <w:ind w:left="480"/>
      </w:pPr>
      <w:r>
        <w:rPr>
          <w:b/>
          <w:bCs/>
          <w:color w:val="B23B3B"/>
        </w:rPr>
        <w:t xml:space="preserve">Attention : « Execute step » et « Execute previous nodes » déclenchent de vrais appels (API, base de données) — ce n'est pas un test à blanc. Pour le workflow d'ingestion en particulier, cela consomme de vrais crédits OpenAI et écrit réellement dans Supabase.</w:t>
      </w:r>
    </w:p>
    <w:p>
      <w:pPr>
        <w:pStyle w:val="Heading2"/>
      </w:pPr>
      <w:r>
        <w:t xml:space="preserve">2.3 Vérifier la configuration d'un credential partagé</w:t>
      </w:r>
    </w:p>
    <w:p>
      <w:pPr>
        <w:spacing w:after="160"/>
      </w:pPr>
      <w:r>
        <w:t xml:space="preserve">Certains nœuds utilisent un credential n8n nommé et partagé plutôt qu'une clé codée en dur directement dans le nœud (c'est le cas du credential Supabase « service_role / ingestion »). Pour le vérifier ou le corriger :</w:t>
      </w:r>
    </w:p>
    <w:p>
      <w:pPr>
        <w:pStyle w:val="ListParagraph"/>
        <w:numPr>
          <w:ilvl w:val="0"/>
          <w:numId w:val="2"/>
        </w:numPr>
        <w:spacing w:after="100"/>
      </w:pPr>
      <w:r>
        <w:t xml:space="preserve">Ouvrir le nœud concerné, repérer le menu déroulant du credential utilisé.</w:t>
      </w:r>
    </w:p>
    <w:p>
      <w:pPr>
        <w:pStyle w:val="ListParagraph"/>
        <w:numPr>
          <w:ilvl w:val="0"/>
          <w:numId w:val="2"/>
        </w:numPr>
        <w:spacing w:after="100"/>
      </w:pPr>
      <w:r>
        <w:t xml:space="preserve">Cliquer sur l'icône crayon à côté du menu déroulant pour ouvrir la fenêtre d'édition du credential.</w:t>
      </w:r>
    </w:p>
    <w:p>
      <w:pPr>
        <w:pStyle w:val="ListParagraph"/>
        <w:numPr>
          <w:ilvl w:val="0"/>
          <w:numId w:val="2"/>
        </w:numPr>
        <w:spacing w:after="100"/>
      </w:pPr>
      <w:r>
        <w:t xml:space="preserve">Modifier la valeur si nécessaire, puis cliquer sur « Retry » pour vérifier que le message « Connection tested successfully » s'affiche.</w:t>
      </w:r>
    </w:p>
    <w:p>
      <w:pPr>
        <w:pStyle w:val="ListParagraph"/>
        <w:numPr>
          <w:ilvl w:val="0"/>
          <w:numId w:val="2"/>
        </w:numPr>
        <w:spacing w:after="100"/>
      </w:pPr>
      <w:r>
        <w:t xml:space="preserve">Cliquer sur « Save ».</w:t>
      </w:r>
    </w:p>
    <w:p>
      <w:pPr>
        <w:spacing w:after="160"/>
      </w:pPr>
      <w:r>
        <w:t xml:space="preserve">Corriger un credential partagé à cet endroit met à jour automatiquement tous les workflows qui l'utilisent, sans avoir à modifier chaque nœud individuellement.</w:t>
      </w:r>
    </w:p>
    <w:p>
      <w:r>
        <w:br w:type="page"/>
      </w:r>
    </w:p>
    <w:p>
      <w:pPr>
        <w:pStyle w:val="Heading1"/>
      </w:pPr>
      <w:r>
        <w:t xml:space="preserve">3. Problèmes fréquents et solutions</w:t>
      </w:r>
    </w:p>
    <w:p>
      <w:pPr>
        <w:pStyle w:val="Heading2"/>
      </w:pPr>
      <w:r>
        <w:t xml:space="preserve">3.1 Des réponses RAG contiennent du texte incohérent ou du charabia</w:t>
      </w:r>
    </w:p>
    <w:p>
      <w:pPr>
        <w:spacing w:after="160"/>
      </w:pPr>
      <w:r>
        <w:t xml:space="preserve">Cause probable : un document source non exploitable en texte (Google Slides exporté en PDF, fichier .docx ou .pdf brut) a été ingéré malgré le filtre. Vérifier dans le nœud « Aplatir liste fichiers » que la liste des types de fichiers acceptés (TEXT_MIMETYPES) ne contient que des formats texte natifs, et retirer manuellement de la table documents toute ligne dont le contenu semble corrompu.</w:t>
      </w:r>
    </w:p>
    <w:p>
      <w:pPr>
        <w:pStyle w:val="Heading2"/>
      </w:pPr>
      <w:r>
        <w:t xml:space="preserve">3.2 La table documents contient des doublons</w:t>
      </w:r>
    </w:p>
    <w:p>
      <w:pPr>
        <w:spacing w:after="160"/>
      </w:pPr>
      <w:r>
        <w:t xml:space="preserve">Vérifier dans Supabase (SQL editor) avec la requête suivante :</w:t>
      </w:r>
    </w:p>
    <w:p>
      <w:pPr>
        <w:shd w:fill="F2F2F2" w:val="clear"/>
        <w:spacing w:after="160"/>
      </w:pPr>
      <w:r>
        <w:rPr>
          <w:rFonts w:ascii="Courier New" w:cs="Courier New" w:eastAsia="Courier New" w:hAnsi="Courier New"/>
          <w:sz w:val="20"/>
          <w:szCs w:val="20"/>
        </w:rPr>
        <w:t xml:space="preserve">select source_id, chunk_index, count(*) from documents group by source_id, chunk_index having count(*) &gt; 1;</w:t>
      </w:r>
    </w:p>
    <w:p>
      <w:pPr>
        <w:spacing w:after="160"/>
      </w:pPr>
      <w:r>
        <w:t xml:space="preserve">Si des doublons apparaissent, vérifier que l'URL du nœud « Insérer dans Supabase (upsert) » contient bien le paramètre ?on_conflict=source_id,chunk_index, et qu'une contrainte unique existe sur ces deux colonnes dans la table documents.</w:t>
      </w:r>
    </w:p>
    <w:p>
      <w:pPr>
        <w:pStyle w:val="Heading2"/>
      </w:pPr>
      <w:r>
        <w:t xml:space="preserve">3.3 Aucune réponse IA, escalade systématique vers Chatwoot</w:t>
      </w:r>
    </w:p>
    <w:p>
      <w:pPr>
        <w:spacing w:after="160"/>
      </w:pPr>
      <w:r>
        <w:t xml:space="preserve">Cause probable : soit la base documentaire ne contient pas encore l'information recherchée (vérifier qu'une ingestion récente a bien eu lieu), soit le seuil de similarité (match_threshold) est trop restrictif dans le nœud de recherche Supabase Vector. Vérifier également que le nœud d'embedding de la question fonctionne correctement (clé OpenAI valide).</w:t>
      </w:r>
    </w:p>
    <w:p>
      <w:pPr>
        <w:pStyle w:val="Heading2"/>
      </w:pPr>
      <w:r>
        <w:t xml:space="preserve">3.4 Erreur d'authentification (401 / 403 / « Invalid API key »)</w:t>
      </w:r>
    </w:p>
    <w:p>
      <w:pPr>
        <w:spacing w:after="160"/>
      </w:pPr>
      <w:r>
        <w:t xml:space="preserve">Cause probable : une clé d'API (OpenAI, Supabase) a été renouvelée sans que tous les nœuds concernés aient été mis à jour. Procéder ainsi :</w:t>
      </w:r>
    </w:p>
    <w:p>
      <w:pPr>
        <w:pStyle w:val="ListParagraph"/>
        <w:numPr>
          <w:ilvl w:val="0"/>
          <w:numId w:val="2"/>
        </w:numPr>
        <w:spacing w:after="100"/>
      </w:pPr>
      <w:r>
        <w:t xml:space="preserve">Identifier tous les nœuds utilisant l'ancienne clé (rechercher dans le workflow via l'icône loupe du canvas).</w:t>
      </w:r>
    </w:p>
    <w:p>
      <w:pPr>
        <w:pStyle w:val="ListParagraph"/>
        <w:numPr>
          <w:ilvl w:val="0"/>
          <w:numId w:val="2"/>
        </w:numPr>
        <w:spacing w:after="100"/>
      </w:pPr>
      <w:r>
        <w:t xml:space="preserve">Mettre à jour chaque occurrence avec la nouvelle clé (header Authorization / apikey, ou credential partagé).</w:t>
      </w:r>
    </w:p>
    <w:p>
      <w:pPr>
        <w:pStyle w:val="ListParagraph"/>
        <w:numPr>
          <w:ilvl w:val="0"/>
          <w:numId w:val="2"/>
        </w:numPr>
        <w:spacing w:after="100"/>
      </w:pPr>
      <w:r>
        <w:t xml:space="preserve">Tester avec « Execute step » sur un nœud représentatif avant de considérer la correction terminée.</w:t>
      </w:r>
    </w:p>
    <w:p>
      <w:pPr>
        <w:pStyle w:val="Heading2"/>
      </w:pPr>
      <w:r>
        <w:t xml:space="preserve">3.5 Le nœud de test webhook ne capture aucune donnée</w:t>
      </w:r>
    </w:p>
    <w:p>
      <w:pPr>
        <w:spacing w:after="160"/>
      </w:pPr>
      <w:r>
        <w:t xml:space="preserve">Le workflow de recherche RAG démarre par un déclencheur Webhook, pas par un Schedule Trigger : « Execute previous nodes » ne simule pas un appel entrant, il attend un vrai appel HTTP. Pour tester : ouvrir le nœud Trigger, copier l'URL de Test, cliquer sur « Listen for test event », puis envoyer une vraie requête POST (par exemple avec curl) vers cette URL de test.</w:t>
      </w:r>
    </w:p>
    <w:p>
      <w:r>
        <w:br w:type="page"/>
      </w:r>
    </w:p>
    <w:p>
      <w:pPr>
        <w:pStyle w:val="Heading1"/>
      </w:pPr>
      <w:r>
        <w:t xml:space="preserve">4. Sécurité — Incident et rotation des clés (juillet 2026)</w:t>
      </w:r>
    </w:p>
    <w:p>
      <w:pPr>
        <w:pBdr>
          <w:left w:val="single" w:color="B23B3B" w:sz="18" w:space="8"/>
        </w:pBdr>
        <w:spacing w:after="160" w:before="120"/>
        <w:ind w:left="480"/>
      </w:pPr>
      <w:r>
        <w:rPr>
          <w:b/>
          <w:bCs/>
          <w:color w:val="B23B3B"/>
        </w:rPr>
        <w:t xml:space="preserve">Un audit de sécurité a révélé que plusieurs clés d'API sensibles étaient exposées en clair dans des fichiers versionnés sur GitHub, dont une clé Supabase service_role (accès complet à la base de données, sans restriction des règles de sécurité RLS).</w:t>
      </w:r>
    </w:p>
    <w:p>
      <w:pPr>
        <w:pStyle w:val="Heading2"/>
      </w:pPr>
      <w:r>
        <w:t xml:space="preserve">4.1 Ce qui a été trouvé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00"/>
      </w:tblGrid>
      <w:t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Clé</w:t>
            </w:r>
          </w:p>
        </w:tc>
        <w:tc>
          <w:tcPr>
            <w:tcW w:type="dxa" w:w="4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Où elle était exposée</w:t>
            </w:r>
          </w:p>
        </w:tc>
        <w:tc>
          <w:tcPr>
            <w:tcW w:type="dxa" w:w="23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Statut au 04/07/2026</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Supabase service_role</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18 fichiers versionnés (workflows n8n exportés, scripts, migrations SQL), déjà poussés sur le dépôt GitHub public</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Rotée — migration vers le nouveau système de clés Secret / Publishable Supabase</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OpenAI (2 clés distinctes)</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9 nœuds du workflow de prospection V3, dans un export local non encore commité</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Rotée — nouvelles clés déployées sur les 9 nœuds concernés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Resend</w:t>
            </w:r>
          </w:p>
        </w:tc>
        <w:tc>
          <w:tcPr>
            <w:tcW w:type="dxa" w:w="4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2 fichiers (export de workflow ancien et script de génération), déjà poussés sur GitHub</w:t>
            </w:r>
          </w:p>
        </w:tc>
        <w:tc>
          <w:tcPr>
            <w:tcW w:type="dxa" w:w="23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b w:val="false"/>
                <w:bCs w:val="false"/>
                <w:color w:val="000000"/>
              </w:rPr>
              <w:t xml:space="preserve">Clé révoquée ; aucun workflow actif ne l'utilisait plus au moment de la rotation</w:t>
            </w:r>
          </w:p>
        </w:tc>
      </w:tr>
    </w:tbl>
    <w:p>
      <w:pPr>
        <w:spacing w:after="160"/>
      </w:pPr>
      <w:r>
        <w:t xml:space="preserve"/>
      </w:r>
    </w:p>
    <w:p>
      <w:pPr>
        <w:pStyle w:val="Heading2"/>
      </w:pPr>
      <w:r>
        <w:t xml:space="preserve">4.2 Procédure de rotation appliquée</w:t>
      </w:r>
    </w:p>
    <w:p>
      <w:pPr>
        <w:pStyle w:val="ListParagraph"/>
        <w:numPr>
          <w:ilvl w:val="0"/>
          <w:numId w:val="2"/>
        </w:numPr>
        <w:spacing w:after="100"/>
      </w:pPr>
      <w:r>
        <w:t xml:space="preserve">Création de nouvelles clés dans chaque service concerné (dashboards Supabase, OpenAI, Resend).</w:t>
      </w:r>
    </w:p>
    <w:p>
      <w:pPr>
        <w:pStyle w:val="ListParagraph"/>
        <w:numPr>
          <w:ilvl w:val="0"/>
          <w:numId w:val="2"/>
        </w:numPr>
        <w:spacing w:after="100"/>
      </w:pPr>
      <w:r>
        <w:t xml:space="preserve">Identification, via recherche dans les exports locaux de workflows, de tous les nœuds utilisant l'ancienne clé.</w:t>
      </w:r>
    </w:p>
    <w:p>
      <w:pPr>
        <w:pStyle w:val="ListParagraph"/>
        <w:numPr>
          <w:ilvl w:val="0"/>
          <w:numId w:val="2"/>
        </w:numPr>
        <w:spacing w:after="100"/>
      </w:pPr>
      <w:r>
        <w:t xml:space="preserve">Remplacement de la clé dans chaque nœud concerné, ou dans le credential n8n partagé lorsque celui-ci existait.</w:t>
      </w:r>
    </w:p>
    <w:p>
      <w:pPr>
        <w:pStyle w:val="ListParagraph"/>
        <w:numPr>
          <w:ilvl w:val="0"/>
          <w:numId w:val="2"/>
        </w:numPr>
        <w:spacing w:after="100"/>
      </w:pPr>
      <w:r>
        <w:t xml:space="preserve">Test de chaque connexion après remplacement (Retry sur les credentials, Execute step sur les nœuds HTTP).</w:t>
      </w:r>
    </w:p>
    <w:p>
      <w:pPr>
        <w:pStyle w:val="ListParagraph"/>
        <w:numPr>
          <w:ilvl w:val="0"/>
          <w:numId w:val="2"/>
        </w:numPr>
        <w:spacing w:after="100"/>
      </w:pPr>
      <w:r>
        <w:t xml:space="preserve">Révocation définitive des anciennes clés dans les dashboards respectifs, une fois toutes les migrations confirmées.</w:t>
      </w:r>
    </w:p>
    <w:p>
      <w:pPr>
        <w:pStyle w:val="Heading2"/>
      </w:pPr>
      <w:r>
        <w:t xml:space="preserve">4.3 Point ouvert : nettoyage de l'historique Git</w:t>
      </w:r>
    </w:p>
    <w:p>
      <w:pPr>
        <w:spacing w:after="160"/>
      </w:pPr>
      <w:r>
        <w:t xml:space="preserve">Les anciennes clés, bien que révoquées, restent visibles dans l'historique des commits du dépôt GitHub (plus de 900 commits concernés, sur une vingtaine de branches). Ce nettoyage nécessite un outil de réécriture d'historique (git-filter-repo ou BFG Repo-Cleaner) et un force-push, ce qui casse les clones existants et invalide les pull requests ouvertes. Cette opération a été volontairement reportée après la rotation des clés, la priorité de sécurité immédiate étant traitée. Elle reste recommandée pour l'hygiène du dépôt, à planifier à un moment de faible activité collaborative sur le projet.</w:t>
      </w:r>
    </w:p>
    <w:p>
      <w:pPr>
        <w:pStyle w:val="Heading2"/>
      </w:pPr>
      <w:r>
        <w:t xml:space="preserve">4.4 Bonnes pratiques pour éviter que cela se reproduise</w:t>
      </w:r>
    </w:p>
    <w:p>
      <w:pPr>
        <w:pStyle w:val="ListParagraph"/>
        <w:numPr>
          <w:ilvl w:val="0"/>
          <w:numId w:val="3"/>
        </w:numPr>
        <w:spacing w:after="100"/>
      </w:pPr>
      <w:r>
        <w:t xml:space="preserve">Ne jamais coder une clé d'API en dur dans un nœud n8n : toujours utiliser le système de Credentials natif, qui stocke les valeurs de façon chiffrée et séparée des exports de workflow.</w:t>
      </w:r>
    </w:p>
    <w:p>
      <w:pPr>
        <w:pStyle w:val="ListParagraph"/>
        <w:numPr>
          <w:ilvl w:val="0"/>
          <w:numId w:val="3"/>
        </w:numPr>
        <w:spacing w:after="100"/>
      </w:pPr>
      <w:r>
        <w:t xml:space="preserve">Avant tout export ou sauvegarde d'un workflow dans un dossier versionné (Git), vérifier l'absence de clé en clair par une recherche simple sur des motifs comme sk-, re_, ou eyJ.</w:t>
      </w:r>
    </w:p>
    <w:p>
      <w:pPr>
        <w:pStyle w:val="ListParagraph"/>
        <w:numPr>
          <w:ilvl w:val="0"/>
          <w:numId w:val="3"/>
        </w:numPr>
        <w:spacing w:after="100"/>
      </w:pPr>
      <w:r>
        <w:t xml:space="preserve">Considérer toute clé ayant transité par un fichier versionné comme potentiellement compromise, même après suppression du fichier — la rotation reste la seule action qui neutralise réellement le risque.</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TransferAI Africa — Guide Troubleshooting RAG Documentaire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2026-07-04T18:54:23.941Z</dcterms:created>
  <dcterms:modified xsi:type="dcterms:W3CDTF">2026-07-04T18:54:23.942Z</dcterms:modified>
</cp:coreProperties>
</file>

<file path=docProps/custom.xml><?xml version="1.0" encoding="utf-8"?>
<Properties xmlns="http://schemas.openxmlformats.org/officeDocument/2006/custom-properties" xmlns:vt="http://schemas.openxmlformats.org/officeDocument/2006/docPropsVTypes"/>
</file>