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  <w:jc w:val="center"/>
      </w:pPr>
      <w:r>
        <w:rPr>
          <w:b/>
          <w:bCs/>
          <w:color w:val="1B2A4A"/>
          <w:sz w:val="48"/>
          <w:szCs w:val="48"/>
        </w:rPr>
        <w:t xml:space="preserve">CAS PRATIQUE</w:t>
      </w:r>
    </w:p>
    <w:p>
      <w:pPr>
        <w:spacing w:after="300" w:before="160"/>
        <w:jc w:val="center"/>
      </w:pPr>
      <w:r>
        <w:rPr>
          <w:b/>
          <w:bCs/>
          <w:color w:val="2E75B6"/>
          <w:sz w:val="28"/>
          <w:szCs w:val="28"/>
        </w:rPr>
        <w:t xml:space="preserve">Le RAG appliqué à la Finance</w:t>
      </w:r>
    </w:p>
    <w:p>
      <w:pPr>
        <w:spacing w:after="100"/>
        <w:jc w:val="center"/>
      </w:pPr>
      <w:r>
        <w:rPr>
          <w:i/>
          <w:iCs/>
          <w:color w:val="595959"/>
          <w:sz w:val="18"/>
          <w:szCs w:val="18"/>
        </w:rPr>
        <w:t xml:space="preserve">Document support — prêt à être repris tel quel dans des diapositives</w:t>
      </w:r>
    </w:p>
    <w:p>
      <w:pPr>
        <w:spacing w:after="500"/>
        <w:jc w:val="center"/>
      </w:pPr>
      <w:r>
        <w:rPr>
          <w:i/>
          <w:iCs/>
          <w:color w:val="595959"/>
          <w:sz w:val="18"/>
          <w:szCs w:val="18"/>
        </w:rPr>
        <w:t xml:space="preserve">Webinaire gratuit TransferAI Africa — Formation « L'IA au Bureau », Abidjan, Juillet/Août 2026</w:t>
      </w:r>
    </w:p>
    <w:p>
      <w:pPr>
        <w:jc w:val="center"/>
      </w:pPr>
      <w:r>
        <w:rPr>
          <w:color w:val="595959"/>
          <w:sz w:val="16"/>
          <w:szCs w:val="16"/>
        </w:rPr>
        <w:t xml:space="preserve">Document mis à jour le 04 juillet 2026</w:t>
      </w:r>
    </w:p>
    <w:p>
      <w:r>
        <w:br w:type="page"/>
      </w:r>
    </w:p>
    <w:p>
      <w:pPr>
        <w:shd w:fill="1B2A4A" w:val="clear"/>
        <w:spacing w:after="40" w:before="300"/>
      </w:pPr>
      <w:r>
        <w:rPr>
          <w:b/>
          <w:bCs/>
          <w:color w:val="FFFFFF"/>
          <w:sz w:val="18"/>
          <w:szCs w:val="18"/>
        </w:rPr>
        <w:t xml:space="preserve">  DIAPOSITIVE 1</w:t>
      </w:r>
    </w:p>
    <w:p>
      <w:pPr>
        <w:spacing w:after="140" w:before="60"/>
      </w:pPr>
      <w:r>
        <w:rPr>
          <w:b/>
          <w:bCs/>
          <w:color w:val="1B2A4A"/>
          <w:sz w:val="28"/>
          <w:szCs w:val="28"/>
        </w:rPr>
        <w:t xml:space="preserve">Le contexte : le quotidien d'un service Finance</w:t>
      </w:r>
    </w:p>
    <w:p>
      <w:pPr>
        <w:spacing w:after="140"/>
      </w:pPr>
      <w:r>
        <w:t xml:space="preserve">Des questions qui reviennent sans cesse 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Quel est le plafond de remboursement d'un déplacement 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Quelle pièce justificative pour une note de frais 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Quel est le délai de validation d'un bon de commande ?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Quelles règles d'amortissement selon les normes SYSCOHADA ?</w:t>
      </w:r>
    </w:p>
    <w:p>
      <w:pPr>
        <w:spacing w:after="140"/>
      </w:pPr>
      <w:r>
        <w:rPr>
          <w:b/>
          <w:bCs/>
          <w:color w:val="1B2A4A"/>
        </w:rPr>
        <w:t xml:space="preserve">Conséquence : l'équipe comptable et finance passe un temps considérable à répondre aux mêmes questions, au lieu de se consacrer à l'analyse et au pilotage financier.</w:t>
      </w:r>
    </w:p>
    <w:p>
      <w:pPr>
        <w:shd w:fill="1B2A4A" w:val="clear"/>
        <w:spacing w:after="40" w:before="300"/>
      </w:pPr>
      <w:r>
        <w:rPr>
          <w:b/>
          <w:bCs/>
          <w:color w:val="FFFFFF"/>
          <w:sz w:val="18"/>
          <w:szCs w:val="18"/>
        </w:rPr>
        <w:t xml:space="preserve">  DIAPOSITIVE 2</w:t>
      </w:r>
    </w:p>
    <w:p>
      <w:pPr>
        <w:spacing w:after="140" w:before="60"/>
      </w:pPr>
      <w:r>
        <w:rPr>
          <w:b/>
          <w:bCs/>
          <w:color w:val="1B2A4A"/>
          <w:sz w:val="28"/>
          <w:szCs w:val="28"/>
        </w:rPr>
        <w:t xml:space="preserve">Rappel : comment fonctionne un RAG ?</w:t>
      </w:r>
    </w:p>
    <w:p>
      <w:pPr>
        <w:spacing w:after="140"/>
      </w:pPr>
      <w:r>
        <w:t xml:space="preserve">Retrieval-Augmented Generation — recherche documentaire + génération de réponse.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Ingestion — les documents finance sont découpés en petits passages de texte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Vectorisation — chaque passage est transformé en empreinte numérique (embedding)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Recherche — la question posée est comparée à tous les passages stockés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Réponse — l'IA rédige une réponse en s'appuyant sur les passages trouvés</w:t>
      </w:r>
    </w:p>
    <w:p>
      <w:pPr>
        <w:shd w:fill="1B2A4A" w:val="clear"/>
        <w:spacing w:after="40" w:before="300"/>
      </w:pPr>
      <w:r>
        <w:rPr>
          <w:b/>
          <w:bCs/>
          <w:color w:val="FFFFFF"/>
          <w:sz w:val="18"/>
          <w:szCs w:val="18"/>
        </w:rPr>
        <w:t xml:space="preserve">  DIAPOSITIVE 3</w:t>
      </w:r>
    </w:p>
    <w:p>
      <w:pPr>
        <w:spacing w:after="140" w:before="60"/>
      </w:pPr>
      <w:r>
        <w:rPr>
          <w:b/>
          <w:bCs/>
          <w:color w:val="1B2A4A"/>
          <w:sz w:val="28"/>
          <w:szCs w:val="28"/>
        </w:rPr>
        <w:t xml:space="preserve">Les documents qui alimentent l'assistant Finance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Manuel de procédures comptables — règles internes de comptabilisation et de clôture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Politique de notes de frais — barèmes de remboursement et justificatifs requis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Plan comptable SYSCOHADA — normes comptables OHADA applicables à l'entreprise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Seuils de délégation budgétaire — procédures de validation des engagements de dépense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Circulaires fiscales internes — TVA, retenues à la source, obligations déclaratives</w:t>
      </w:r>
    </w:p>
    <w:p>
      <w:pPr>
        <w:shd w:fill="1B2A4A" w:val="clear"/>
        <w:spacing w:after="40" w:before="300"/>
      </w:pPr>
      <w:r>
        <w:rPr>
          <w:b/>
          <w:bCs/>
          <w:color w:val="FFFFFF"/>
          <w:sz w:val="18"/>
          <w:szCs w:val="18"/>
        </w:rPr>
        <w:t xml:space="preserve">  DIAPOSITIVE 4</w:t>
      </w:r>
    </w:p>
    <w:p>
      <w:pPr>
        <w:spacing w:after="140" w:before="60"/>
      </w:pPr>
      <w:r>
        <w:rPr>
          <w:b/>
          <w:bCs/>
          <w:color w:val="1B2A4A"/>
          <w:sz w:val="28"/>
          <w:szCs w:val="28"/>
        </w:rPr>
        <w:t xml:space="preserve">Exemple concret de dialogue</w:t>
      </w:r>
    </w:p>
    <w:p>
      <w:pPr>
        <w:pBdr>
          <w:left w:val="single" w:color="2E75B6" w:sz="18" w:space="8"/>
        </w:pBdr>
        <w:spacing w:after="140"/>
        <w:ind w:left="300"/>
      </w:pPr>
      <w:r>
        <w:rPr>
          <w:b/>
          <w:bCs/>
          <w:color w:val="1B2A4A"/>
        </w:rPr>
        <w:t xml:space="preserve">Employé : </w:t>
      </w:r>
      <w:r>
        <w:rPr>
          <w:i/>
          <w:iCs/>
        </w:rPr>
        <w:t xml:space="preserve">« Je dois me rendre à Bouaké pour un rendez-vous client, quel est le barème de remboursement kilométrique et quels justificatifs dois-je fournir ? »</w:t>
      </w:r>
    </w:p>
    <w:p>
      <w:pPr>
        <w:pBdr>
          <w:left w:val="single" w:color="9A7B22" w:sz="18" w:space="8"/>
        </w:pBdr>
        <w:spacing w:after="140"/>
        <w:ind w:left="300"/>
      </w:pPr>
      <w:r>
        <w:rPr>
          <w:b/>
          <w:bCs/>
          <w:color w:val="1B2A4A"/>
        </w:rPr>
        <w:t xml:space="preserve">Assistant RAG : </w:t>
      </w:r>
      <w:r>
        <w:t xml:space="preserve">réponse citant précisément le barème en vigueur et la liste des justificatifs requis, extraite directement de la politique de notes de frais interne (source citée).</w:t>
      </w:r>
    </w:p>
    <w:p>
      <w:pPr>
        <w:spacing w:after="140"/>
      </w:pPr>
      <w:r>
        <w:rPr>
          <w:i/>
          <w:iCs/>
          <w:color w:val="595959"/>
        </w:rPr>
        <w:t xml:space="preserve">Une réponse sourcée, ancrée dans les vraies procédures internes — pas une réponse générique trouvée sur Internet.</w:t>
      </w:r>
    </w:p>
    <w:p>
      <w:pPr>
        <w:shd w:fill="1B2A4A" w:val="clear"/>
        <w:spacing w:after="40" w:before="300"/>
      </w:pPr>
      <w:r>
        <w:rPr>
          <w:b/>
          <w:bCs/>
          <w:color w:val="FFFFFF"/>
          <w:sz w:val="18"/>
          <w:szCs w:val="18"/>
        </w:rPr>
        <w:t xml:space="preserve">  DIAPOSITIVE 5</w:t>
      </w:r>
    </w:p>
    <w:p>
      <w:pPr>
        <w:spacing w:after="140" w:before="60"/>
      </w:pPr>
      <w:r>
        <w:rPr>
          <w:b/>
          <w:bCs/>
          <w:color w:val="1B2A4A"/>
          <w:sz w:val="28"/>
          <w:szCs w:val="28"/>
        </w:rPr>
        <w:t xml:space="preserve">Déroulé de la démonstration en direct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Déposer — un extrait de politique de notes de frais est déposé dans le dossier Drive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Ingérer — le pipeline traite le document (déclenchement manuel pour la démo)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Interroger — le public propose une question réaliste au système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Comparer — on compare la réponse à une recherche manuelle dans le document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Conclure — discussion collective sur la fiabilité et les limites observées</w:t>
      </w:r>
    </w:p>
    <w:p>
      <w:pPr>
        <w:shd w:fill="1B2A4A" w:val="clear"/>
        <w:spacing w:after="40" w:before="300"/>
      </w:pPr>
      <w:r>
        <w:rPr>
          <w:b/>
          <w:bCs/>
          <w:color w:val="FFFFFF"/>
          <w:sz w:val="18"/>
          <w:szCs w:val="18"/>
        </w:rPr>
        <w:t xml:space="preserve">  DIAPOSITIVE 6</w:t>
      </w:r>
    </w:p>
    <w:p>
      <w:pPr>
        <w:spacing w:after="140" w:before="60"/>
      </w:pPr>
      <w:r>
        <w:rPr>
          <w:b/>
          <w:bCs/>
          <w:color w:val="1B2A4A"/>
          <w:sz w:val="28"/>
          <w:szCs w:val="28"/>
        </w:rPr>
        <w:t xml:space="preserve">Bénéfices clés pour un service Finance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Bénéfice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Ce que cela signifie en pratique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Conformité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Réponses ancrées dans les normes SYSCOHADA/OHADA réellement en vigueur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Gain de temps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Moins d'interruptions récurrentes, plus de temps pour l'analyse à valeur ajoutée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Traçabilité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Chaque réponse est reliée à sa source, ce qui facilite les contrôles internes et externes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Onboarding accéléré</w:t>
            </w:r>
          </w:p>
        </w:tc>
        <w:tc>
          <w:tcPr>
            <w:tcW w:type="dxa" w:w="6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 nouveau collaborateur interroge directement la documentation interne</w:t>
            </w:r>
          </w:p>
        </w:tc>
      </w:tr>
    </w:tbl>
    <w:p>
      <w:pPr>
        <w:shd w:fill="1B2A4A" w:val="clear"/>
        <w:spacing w:after="40" w:before="300"/>
      </w:pPr>
      <w:r>
        <w:rPr>
          <w:b/>
          <w:bCs/>
          <w:color w:val="FFFFFF"/>
          <w:sz w:val="18"/>
          <w:szCs w:val="18"/>
        </w:rPr>
        <w:t xml:space="preserve">  DIAPOSITIVE 7</w:t>
      </w:r>
    </w:p>
    <w:p>
      <w:pPr>
        <w:spacing w:after="140" w:before="60"/>
      </w:pPr>
      <w:r>
        <w:rPr>
          <w:b/>
          <w:bCs/>
          <w:color w:val="1B2A4A"/>
          <w:sz w:val="28"/>
          <w:szCs w:val="28"/>
        </w:rPr>
        <w:t xml:space="preserve">Passez à la pratique</w:t>
      </w:r>
    </w:p>
    <w:p>
      <w:pPr>
        <w:spacing w:after="140"/>
      </w:pPr>
      <w:r>
        <w:t xml:space="preserve">Ce cas d'usage Finance n'est qu'un exemple parmi d'autres — le même principe s'applique à la vente, aux RH, au juridique, au support client.</w:t>
      </w:r>
    </w:p>
    <w:p>
      <w:pPr>
        <w:spacing w:after="140"/>
      </w:pPr>
      <w:r>
        <w:rPr>
          <w:b/>
          <w:bCs/>
          <w:color w:val="1B2A4A"/>
        </w:rPr>
        <w:t xml:space="preserve">Formation « L'IA au Bureau » — 2 jours intensifs, Abidjan, Juillet / Août 2026.</w:t>
      </w:r>
    </w:p>
    <w:p>
      <w:pPr>
        <w:spacing w:after="140"/>
      </w:pPr>
      <w:r>
        <w:rPr>
          <w:color w:val="595959"/>
        </w:rPr>
        <w:t xml:space="preserve">TransferAI Africa — Hub IA de NettelecomCI — www.transferai.ci — contact@transferai.ci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TransferAI Africa — Cas pratique RAG Finance (support diapositives)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2026-07-05T06:13:13.113Z</dcterms:created>
  <dcterms:modified xsi:type="dcterms:W3CDTF">2026-07-05T06:13:13.114Z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