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Utilisateur - Workflow Prospection V3 CRM + Audit Dynamique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pStyle w:val="Heading1"/>
        <w:spacing w:before="360" w:after="200" w:line="276" w:lineRule="auto"/>
      </w:pPr>
      <w:r>
        <w:t>1. Objet du document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guide est la référence opérationnelle du workflow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73_TransferAI_Prospecting_V3_CRM_Enhanced_FINAL_11_Local_Audit_Fixed.json (/Users/marius_ayoro/Documents/GitHub/connect-ia-bloom/docs/transferai-admin/73_TransferAI_Prospecting_V3_CRM_Enhanced_FINAL_11_Local_Audit_Fixed.json)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explique, en français standard, ce que fait chaque nœud, comment le configurer, ce qui a évolué depuis les premières versions, et dans quel ordre exécuter le projet.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guide couvre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l’historique fonctionnel V1 à aujourd’hui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l’architecture générale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prérequis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rôle et la configuration de chaque nœud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changements récents autour du formulaire d’audit dynamique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l’ordre d’exécution recommandé</w:t>
      </w:r>
    </w:p>
    <w:p>
      <w:pPr>
        <w:pStyle w:val="Heading1"/>
        <w:spacing w:before="360" w:after="200" w:line="276" w:lineRule="auto"/>
      </w:pPr>
      <w:r>
        <w:t>2. Historique utile du projet</w:t>
      </w:r>
    </w:p>
    <w:p>
      <w:pPr>
        <w:pStyle w:val="Heading2"/>
        <w:spacing w:before="280" w:after="140" w:line="276" w:lineRule="auto"/>
      </w:pPr>
      <w:r>
        <w:t>V1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V1 permettait surtout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qualifier un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des contenus commerciaux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une proposition simple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Limites de la V1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stockage structuré complet dans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parcours d’approbation robuste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lien d’audit dynamique par prospect</w:t>
      </w:r>
    </w:p>
    <w:p>
      <w:pPr>
        <w:pStyle w:val="Heading2"/>
        <w:spacing w:before="280" w:after="140" w:line="276" w:lineRule="auto"/>
      </w:pPr>
      <w:r>
        <w:t>V2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V2 a ajouté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persistance en 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l’approbation avant 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meilleur contrôle commercial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Limites de la V2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formulaire d’audit restait générique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lien du formulaire n’était pas individualisé</w:t>
      </w:r>
    </w:p>
    <w:p>
      <w:pPr>
        <w:pStyle w:val="Heading2"/>
        <w:spacing w:before="280" w:after="140" w:line="276" w:lineRule="auto"/>
      </w:pPr>
      <w:r>
        <w:t>V3 CRM Enhanced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V3 actuelle ajoute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logique CRM plus cohérente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génération d’un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construction d’un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pack prospect complet stocké dans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parcours d’approbation avant 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base prête pour le formulaire d’audit dynamique</w:t>
      </w:r>
    </w:p>
    <w:p>
      <w:pPr>
        <w:pStyle w:val="Heading2"/>
        <w:spacing w:before="280" w:after="140" w:line="276" w:lineRule="auto"/>
      </w:pPr>
      <w:r>
        <w:t>Version actuelle enrichie 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évolutions récentes portent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remplacement du lien générique du formulaire par un lien dynamique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préparation du nouveau formulaire premium côté frontend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remontée d’une recommandation de service TransferAI après soumission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déclenchement automatique du workflow post-audit</w:t>
      </w:r>
    </w:p>
    <w:p>
      <w:pPr>
        <w:pStyle w:val="Heading2"/>
        <w:spacing w:before="280" w:after="140" w:line="276" w:lineRule="auto"/>
      </w:pPr>
      <w:r>
        <w:t>Position actuelle du projet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À date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considérée comme terminée pour la phase </w:t>
      </w:r>
      <w:r>
        <w:rPr>
          <w:rFonts w:ascii="Calibri" w:hAnsi="Calibri" w:eastAsia="Calibri"/>
          <w:b/>
          <w:i w:val="0"/>
          <w:color w:val="101928"/>
          <w:sz w:val="22"/>
        </w:rPr>
        <w:t>avant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formulaire d’audit dynamique est branché de bout en bout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post-audit est désormais pris en charge par le workflow 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 74_n8n_Post_Audit_Expert_Routing_V2_Exportable.json (/Users/marius_ayoro/Documents/GitHub/connect-ia-bloom/docs/transferai-admin/74_n8n_Post_Audit_Expert_Routing_V2_Exportable.json)</w:t>
      </w:r>
    </w:p>
    <w:p>
      <w:pPr>
        <w:pStyle w:val="Heading1"/>
        <w:spacing w:before="360" w:after="200" w:line="276" w:lineRule="auto"/>
      </w:pPr>
      <w:r>
        <w:t>3. Vue d’ensemble du workflow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complet comporte quatre grandes phases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qualification et lecture du prospect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génération des contenus du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stockage et validation interne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approbation puis envoi au prospect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formulaire d’audit dynamique intervient ensuite comme couche complémentaire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prospect clique sur un lien d’audit personnalisé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il remplit le formulaire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 enregistre les réponses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recommandation de service TransferAI est calculée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save-form-response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déclenche automatiquement le webhook post-audit quand la complétion atteint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80%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ou plus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 produit la fiche pré-RDV et alimente la table de suivi</w:t>
      </w:r>
    </w:p>
    <w:p>
      <w:pPr>
        <w:pStyle w:val="Heading1"/>
        <w:spacing w:before="360" w:after="200" w:line="276" w:lineRule="auto"/>
      </w:pPr>
      <w:r>
        <w:t>4. Pré-requis de configuration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Avant d’utiliser le workflow, les éléments suivants doivent être prêts.</w:t>
      </w:r>
    </w:p>
    <w:p>
      <w:pPr>
        <w:pStyle w:val="Heading2"/>
        <w:spacing w:before="280" w:after="140" w:line="276" w:lineRule="auto"/>
      </w:pPr>
      <w:r>
        <w:t>4.1 Services nécessaires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OpenAI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frontend du site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audit.transferai.ci</w:t>
      </w:r>
    </w:p>
    <w:p>
      <w:pPr>
        <w:pStyle w:val="Heading2"/>
        <w:spacing w:before="280" w:after="140" w:line="276" w:lineRule="auto"/>
      </w:pPr>
      <w:r>
        <w:t>4.2 Variables d’environnement clés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la chaîne complète V3 + post-audit, les variables suivantes doivent être prêtes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OPENAI_API_KEY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N8N_POST_AUDIT_WEBHOOK_URL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POST_AUDIT_INTERNAL_EMAIL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Variables optionnelles utiles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POST_AUDIT_ROUTING_MAP_JSON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POST_AUDIT_SLACK_WEBHOOK_URL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POST_AUDIT_N8N_WEBHOOK_BEARER_TOKEN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POST_AUDIT_NEXT_ACTION_DELAY_DAYS</w:t>
      </w:r>
    </w:p>
    <w:p>
      <w:pPr>
        <w:pStyle w:val="Heading2"/>
        <w:spacing w:before="280" w:after="140" w:line="276" w:lineRule="auto"/>
      </w:pPr>
      <w:r>
        <w:t>4.3 Variables métier minimales attendues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manipule au minimum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country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sector_guess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custom_page_paths_csv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commercial_priority_default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research_scope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raw_source_id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last_response_status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last_sequence_result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prospect_language</w:t>
      </w:r>
    </w:p>
    <w:p>
      <w:pPr>
        <w:pStyle w:val="Heading2"/>
        <w:spacing w:before="280" w:after="140" w:line="276" w:lineRule="auto"/>
      </w:pPr>
      <w:r>
        <w:t>4.4 Recommandation de sécurité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Ne laissez pas en production les secrets en clair dans les nœuds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OpenAI API 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 service role 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Resend API key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Ils doivent être placés dans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Credentials 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 les variables d’environnement</w:t>
      </w:r>
    </w:p>
    <w:p>
      <w:pPr>
        <w:pStyle w:val="Heading1"/>
        <w:spacing w:before="360" w:after="200" w:line="276" w:lineRule="auto"/>
      </w:pPr>
      <w:r>
        <w:t>5. Ordre d’exploitation recommandé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L’ordre recommandé est le suivant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ou recevoir les données prospect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lancer la génération du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stocker le pack en 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valider le pack en interne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approuver ou rejeter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au prospect si approuvé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>attendre la soumission du formulaire d’audit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traiter ensuite le post-audit</w:t>
      </w:r>
    </w:p>
    <w:p>
      <w:pPr>
        <w:pStyle w:val="Heading1"/>
        <w:spacing w:before="360" w:after="200" w:line="276" w:lineRule="auto"/>
      </w:pPr>
      <w:r>
        <w:t>6. Guide nœud par nœud</w:t>
      </w:r>
    </w:p>
    <w:p>
      <w:pPr>
        <w:pStyle w:val="Heading1"/>
        <w:spacing w:before="360" w:after="200" w:line="276" w:lineRule="auto"/>
      </w:pPr>
      <w:r>
        <w:t>6.1 Déclencheurs</w:t>
      </w:r>
    </w:p>
    <w:p>
      <w:pPr>
        <w:pStyle w:val="Heading2"/>
        <w:spacing w:before="280" w:after="140" w:line="276" w:lineRule="auto"/>
      </w:pPr>
      <w:r>
        <w:t>`Manual Trigger`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lancer le workflow à la main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Quand l’utiliser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test manuel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démonstration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recette fonctionnelle</w:t>
      </w:r>
    </w:p>
    <w:p>
      <w:pPr>
        <w:pStyle w:val="Heading2"/>
        <w:spacing w:before="280" w:after="140" w:line="276" w:lineRule="auto"/>
      </w:pPr>
      <w:r>
        <w:t>`Execute Workflow Trigger`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permettre un appel par un autre workflow n8n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Quand l’utiliser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intégration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appels batch depuis un workflow parent</w:t>
      </w:r>
    </w:p>
    <w:p>
      <w:pPr>
        <w:pStyle w:val="Heading1"/>
        <w:spacing w:before="360" w:after="200" w:line="276" w:lineRule="auto"/>
      </w:pPr>
      <w:r>
        <w:t>6.2 Préparation des données prospect</w:t>
      </w:r>
    </w:p>
    <w:p>
      <w:pPr>
        <w:pStyle w:val="Heading2"/>
        <w:spacing w:before="280" w:after="140" w:line="276" w:lineRule="auto"/>
      </w:pPr>
      <w:r>
        <w:t>`Set Target`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normaliser les champs entrants du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fixer les valeurs minimales utilisées par les nœuds suivants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Points de configuration importants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doit être une vraie URL ou une chaîne vide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ne jamais mettre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auto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Valeur recommandée pour `website`</w:t>
      </w:r>
    </w:p>
    <w:p>
      <w:pPr>
        <w:pStyle w:val="CodeBlock"/>
        <w:spacing w:before="8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{{$json.website || ''}}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Pourquoi ce nœud est critique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Parce qu’il fixe les données de base qui serviront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construire les URLs publiques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appeler les modèles OpenAI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la lettre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stocker le pack</w:t>
      </w:r>
    </w:p>
    <w:p>
      <w:pPr>
        <w:pStyle w:val="Heading2"/>
        <w:spacing w:before="280" w:after="140" w:line="276" w:lineRule="auto"/>
      </w:pPr>
      <w:r>
        <w:t>`Build Source URLs`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construire jusqu’à 5 URLs publiques à analyser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partir du site web du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prioriser certaines pages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/a-propos/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/services/</w:t>
      </w:r>
      <w:r>
        <w:rPr>
          <w:rFonts w:ascii="Calibri" w:hAnsi="Calibri" w:eastAsia="Calibri"/>
          <w:b w:val="0"/>
          <w:i w:val="0"/>
          <w:color w:val="101928"/>
          <w:sz w:val="22"/>
        </w:rPr>
        <w:t>, etc.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Entrées utilisées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custom_page_paths_csv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produites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source_pages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page_1_url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page_2_url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page_3_url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page_4_url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page_5_url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 de vigilance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vide, les nœuds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échouent ensuite.</w:t>
      </w:r>
    </w:p>
    <w:p>
      <w:pPr>
        <w:pStyle w:val="Heading2"/>
        <w:spacing w:before="280" w:after="140" w:line="276" w:lineRule="auto"/>
      </w:pPr>
      <w:r>
        <w:t>`Fetch Public Page 1`</w:t>
      </w:r>
    </w:p>
    <w:p>
      <w:pPr>
        <w:pStyle w:val="Heading2"/>
        <w:spacing w:before="280" w:after="140" w:line="276" w:lineRule="auto"/>
      </w:pPr>
      <w:r>
        <w:t>`Fetch Public Page 2`</w:t>
      </w:r>
    </w:p>
    <w:p>
      <w:pPr>
        <w:pStyle w:val="Heading2"/>
        <w:spacing w:before="280" w:after="140" w:line="276" w:lineRule="auto"/>
      </w:pPr>
      <w:r>
        <w:t>`Fetch Public Page 3`</w:t>
      </w:r>
    </w:p>
    <w:p>
      <w:pPr>
        <w:pStyle w:val="Heading2"/>
        <w:spacing w:before="280" w:after="140" w:line="276" w:lineRule="auto"/>
      </w:pPr>
      <w:r>
        <w:t>`Fetch Public Page 4`</w:t>
      </w:r>
    </w:p>
    <w:p>
      <w:pPr>
        <w:pStyle w:val="Heading2"/>
        <w:spacing w:before="280" w:after="140" w:line="276" w:lineRule="auto"/>
      </w:pPr>
      <w:r>
        <w:t>`Fetch Public Page 5`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récupérer le contenu HTML brut des pages publiques identifiées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Configuration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Method = GET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Response format = text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Never Error = true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Pourquoi il y en a cinq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lit plusieurs pages pour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comprendre l’activité du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capter les mots-clés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enrichir la qualification</w:t>
      </w:r>
    </w:p>
    <w:p>
      <w:pPr>
        <w:pStyle w:val="Heading2"/>
        <w:spacing w:before="280" w:after="140" w:line="276" w:lineRule="auto"/>
      </w:pPr>
      <w:r>
        <w:t>`Normalize Public Signals`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nettoyer les pages HTML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transformer le HTML en texte lisible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agréger les extraits utiles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des indices métiers et ROI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page_texts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public_text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roi_clues</w:t>
      </w:r>
    </w:p>
    <w:p>
      <w:pPr>
        <w:pStyle w:val="Heading2"/>
        <w:spacing w:before="280" w:after="140" w:line="276" w:lineRule="auto"/>
      </w:pPr>
      <w:r>
        <w:t>`Sanitize Prospect Data For LLM`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une version pseudonymisée et contrôlée des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limiter l’exposition d’informations sensibles avant appel OpenAI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llm_allowed_payload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llm_generation_payload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llm_redaction_summary</w:t>
      </w:r>
    </w:p>
    <w:p>
      <w:pPr>
        <w:pStyle w:val="Heading1"/>
        <w:spacing w:before="360" w:after="200" w:line="276" w:lineRule="auto"/>
      </w:pPr>
      <w:r>
        <w:t>6.3 Qualification et enrichissement IA</w:t>
      </w:r>
    </w:p>
    <w:p>
      <w:pPr>
        <w:pStyle w:val="Heading2"/>
        <w:spacing w:before="280" w:after="140" w:line="276" w:lineRule="auto"/>
      </w:pPr>
      <w:r>
        <w:t>`Call OpenAI Pre-Audit`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une première lecture structurée du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proposer les hypothèses initiales d’analyse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attendues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type d’organisation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contexte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besoins probables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premiers angles d’audit</w:t>
      </w:r>
    </w:p>
    <w:p>
      <w:pPr>
        <w:pStyle w:val="Heading2"/>
        <w:spacing w:before="280" w:after="140" w:line="276" w:lineRule="auto"/>
      </w:pPr>
      <w:r>
        <w:t>`Call OpenAI Problems Solutions`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relier les signaux publics à des problèmes probables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faire émerger des quick wins et des cas d’usage crédibles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attendues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probable_problems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probable_quick_wins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recommended_use_case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best_selling_use_case</w:t>
      </w:r>
    </w:p>
    <w:p>
      <w:pPr>
        <w:pStyle w:val="Heading2"/>
        <w:spacing w:before="280" w:after="140" w:line="276" w:lineRule="auto"/>
      </w:pPr>
      <w:r>
        <w:t>`Call OpenAI ROI`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des hypothèses prudentes de gains, de ROI, d’amélioration de service et de temps économisé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attendues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roi_hypothesis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expected_time_savings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expected_service_improvements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expected_quick_wins</w:t>
      </w:r>
    </w:p>
    <w:p>
      <w:pPr>
        <w:pStyle w:val="Heading2"/>
        <w:spacing w:before="280" w:after="140" w:line="276" w:lineRule="auto"/>
      </w:pPr>
      <w:r>
        <w:t>`Assemble Prospect Context`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fusionner les données prospect, les signaux publics et les sorties OpenAI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contexte métier unique et propre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organization_summary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entry_point_niche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recommended_offer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recommended_training_bundle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commercial_priority_tier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recommended_meeting_angle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sector_pitches</w:t>
      </w:r>
    </w:p>
    <w:p>
      <w:pPr>
        <w:pStyle w:val="Heading1"/>
        <w:spacing w:before="360" w:after="200" w:line="276" w:lineRule="auto"/>
      </w:pPr>
      <w:r>
        <w:t>6.4 Génération des contenus du pack</w:t>
      </w:r>
    </w:p>
    <w:p>
      <w:pPr>
        <w:pStyle w:val="Heading2"/>
        <w:spacing w:before="280" w:after="140" w:line="276" w:lineRule="auto"/>
      </w:pPr>
      <w:r>
        <w:t>`Generate Executive Letter`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le courrier exécutif principal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Évolution récente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Avant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prompt utilisait un lien fixe vers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https://audit.transferai.ci/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Maintenant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il utilise un token dynamique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{{AUDIT_FORM_URL}}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But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chaque prospect reçoit un lien d’audit individualisé</w:t>
      </w:r>
    </w:p>
    <w:p>
      <w:pPr>
        <w:pStyle w:val="Heading2"/>
        <w:spacing w:before="280" w:after="140" w:line="276" w:lineRule="auto"/>
      </w:pPr>
      <w:r>
        <w:t>`Generate Tailored Catalogue`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mini-catalogue ciblé par secteur et par besoin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Contenu attendu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synthèse exécutive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priorités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cas d’usage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formation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gouvernance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accompagnement</w:t>
      </w:r>
    </w:p>
    <w:p>
      <w:pPr>
        <w:pStyle w:val="Heading2"/>
        <w:spacing w:before="280" w:after="140" w:line="276" w:lineRule="auto"/>
      </w:pPr>
      <w:r>
        <w:t>`Generate Tailored Audit Form`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une version texte / conceptuelle du formulaire d’audit ciblé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Note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vrai formulaire dynamique frontend va plus loin que ce texte.</w:t>
      </w:r>
    </w:p>
    <w:p>
      <w:pPr>
        <w:pStyle w:val="Heading2"/>
        <w:spacing w:before="280" w:after="140" w:line="276" w:lineRule="auto"/>
      </w:pPr>
      <w:r>
        <w:t>`Generate Deck Brief`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le brief structuré du deck PowerPoint prospect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JSON propre avec objectifs, messages, cas d’usage, timeline et CTA</w:t>
      </w:r>
    </w:p>
    <w:p>
      <w:pPr>
        <w:pStyle w:val="Heading1"/>
        <w:spacing w:before="360" w:after="200" w:line="276" w:lineRule="auto"/>
      </w:pPr>
      <w:r>
        <w:t>6.5 Construction du pack dynamique</w:t>
      </w:r>
    </w:p>
    <w:p>
      <w:pPr>
        <w:pStyle w:val="Heading2"/>
        <w:spacing w:before="280" w:after="140" w:line="276" w:lineRule="auto"/>
      </w:pPr>
      <w:r>
        <w:t>`Assemble Prospect Pack`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construire le pack final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générer 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hydrater les tokens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produire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executive_letter_html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Changement majeur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remplace désormais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{{ORGANIZATION_NAME}}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{{DECISION_MAKER_NAME}}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{{WEBSITE}}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{{AUDIT_FORM_URL}}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critiques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executive_letter_html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tailored_catalogue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tailored_audit_form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deck_brief</w:t>
      </w:r>
    </w:p>
    <w:p>
      <w:pPr>
        <w:pStyle w:val="Heading1"/>
        <w:spacing w:before="360" w:after="200" w:line="276" w:lineRule="auto"/>
      </w:pPr>
      <w:r>
        <w:t>6.6 Stockage et revue interne</w:t>
      </w:r>
    </w:p>
    <w:p>
      <w:pPr>
        <w:pStyle w:val="Heading2"/>
        <w:spacing w:before="280" w:after="140" w:line="276" w:lineRule="auto"/>
      </w:pPr>
      <w:r>
        <w:t>`Store Pack In Supabase`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enregistrer le pack complet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Configuration logique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payload: $json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doit être conservé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Pourquoi c’est important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Parce que tout le flux d’approbation relit ensuite ce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payload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`Build Approval Email`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construire l’email de validation interne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qu’il affiche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cible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cas d’usage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offre recommandée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tier commercial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lien dynamique du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 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liens d’approbation et de rejet</w:t>
      </w:r>
    </w:p>
    <w:p>
      <w:pPr>
        <w:pStyle w:val="Heading2"/>
        <w:spacing w:before="280" w:after="140" w:line="276" w:lineRule="auto"/>
      </w:pPr>
      <w:r>
        <w:t>`Send Internal Approval Email`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l’email de revue interne via Resend</w:t>
      </w:r>
    </w:p>
    <w:p>
      <w:pPr>
        <w:pStyle w:val="Heading1"/>
        <w:spacing w:before="360" w:after="200" w:line="276" w:lineRule="auto"/>
      </w:pPr>
      <w:r>
        <w:t>6.7 Parcours d’approbation</w:t>
      </w:r>
    </w:p>
    <w:p>
      <w:pPr>
        <w:pStyle w:val="Heading2"/>
        <w:spacing w:before="280" w:after="140" w:line="276" w:lineRule="auto"/>
      </w:pPr>
      <w:r>
        <w:t>`Approval Webhook`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Webhook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recevoir la décision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approved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rejected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Paramètres attendus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</w:t>
      </w:r>
    </w:p>
    <w:p>
      <w:pPr>
        <w:pStyle w:val="Heading2"/>
        <w:spacing w:before="280" w:after="140" w:line="276" w:lineRule="auto"/>
      </w:pPr>
      <w:r>
        <w:t>`Parse Approval Query`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les query params du webhook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normaliser la décision</w:t>
      </w:r>
    </w:p>
    <w:p>
      <w:pPr>
        <w:pStyle w:val="Heading2"/>
        <w:spacing w:before="280" w:after="140" w:line="276" w:lineRule="auto"/>
      </w:pPr>
      <w:r>
        <w:t>`Get Pack From Supabase`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relire en base le pack correspondant au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pStyle w:val="Heading2"/>
        <w:spacing w:before="280" w:after="140" w:line="276" w:lineRule="auto"/>
      </w:pPr>
      <w:r>
        <w:t>`Extract Pack Payload`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réextraire les champs utiles du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payload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réinjecter le pack dans le flux d’envoi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Champs importants remontés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recommended_offer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recommended_use_case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commercial_priority_tier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executive_letter_html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 de compréhension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ne retourne rien tant que le webhook d’approbation n’a pas été exécuté.</w:t>
      </w:r>
    </w:p>
    <w:p>
      <w:pPr>
        <w:pStyle w:val="Heading2"/>
        <w:spacing w:before="280" w:after="140" w:line="276" w:lineRule="auto"/>
      </w:pPr>
      <w:r>
        <w:t>`If Approved`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If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séparer le chemin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approuvé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rejeté</w:t>
      </w:r>
    </w:p>
    <w:p>
      <w:pPr>
        <w:pStyle w:val="Heading1"/>
        <w:spacing w:before="360" w:after="200" w:line="276" w:lineRule="auto"/>
      </w:pPr>
      <w:r>
        <w:t>6.8 Préparation de l’envoi externe</w:t>
      </w:r>
    </w:p>
    <w:p>
      <w:pPr>
        <w:pStyle w:val="Heading2"/>
        <w:spacing w:before="280" w:after="140" w:line="276" w:lineRule="auto"/>
      </w:pPr>
      <w:r>
        <w:t>`Build Send Context`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reconstruire les pièces jointes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valider le minimum d’envoi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propager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que ce nœud vérifie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 cible présent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lettre non vide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exactement 2 pièces jointes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1 PDF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1 PPTX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clés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attachments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attachments_count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can_send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send_failure_reason</w:t>
      </w:r>
    </w:p>
    <w:p>
      <w:pPr>
        <w:pStyle w:val="Heading2"/>
        <w:spacing w:before="280" w:after="140" w:line="276" w:lineRule="auto"/>
      </w:pPr>
      <w:r>
        <w:t>`If Ready To Send`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If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seulement si le contexte est complet</w:t>
      </w:r>
    </w:p>
    <w:p>
      <w:pPr>
        <w:pStyle w:val="Heading2"/>
        <w:spacing w:before="280" w:after="140" w:line="276" w:lineRule="auto"/>
      </w:pPr>
      <w:r>
        <w:t>`Mark Pack Approved`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le pack comme approuvé avant l’envoi effectif</w:t>
      </w:r>
    </w:p>
    <w:p>
      <w:pPr>
        <w:pStyle w:val="Heading1"/>
        <w:spacing w:before="360" w:after="200" w:line="276" w:lineRule="auto"/>
      </w:pPr>
      <w:r>
        <w:t>6.9 Envoi au prospect</w:t>
      </w:r>
    </w:p>
    <w:p>
      <w:pPr>
        <w:pStyle w:val="Heading2"/>
        <w:spacing w:before="280" w:after="140" w:line="276" w:lineRule="auto"/>
      </w:pPr>
      <w:r>
        <w:t>`Send External Prospect Email`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au prospect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lettre exécutive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mini-catalogue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deck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 essentiel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lettre envoyée doit désormais contenir le vrai lien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https://audit.transferai.ci/questionnaire-audit?pack_id=...</w:t>
      </w:r>
    </w:p>
    <w:p>
      <w:pPr>
        <w:pStyle w:val="Heading2"/>
        <w:spacing w:before="280" w:after="140" w:line="276" w:lineRule="auto"/>
      </w:pPr>
      <w:r>
        <w:t>`Parse Send Result`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relire la réponse Resend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extraire l’identifiant du message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horodater l’envoi</w:t>
      </w:r>
    </w:p>
    <w:p>
      <w:pPr>
        <w:pStyle w:val="Heading2"/>
        <w:spacing w:before="280" w:after="140" w:line="276" w:lineRule="auto"/>
      </w:pPr>
      <w:r>
        <w:t>`Mark Pack Sent`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mettre à jour la ligne Supabase après envoi réussi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Mise à jour attendue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 = sent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sent_at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resend_message_id</w:t>
      </w:r>
    </w:p>
    <w:p>
      <w:pPr>
        <w:pStyle w:val="Heading2"/>
        <w:spacing w:before="280" w:after="140" w:line="276" w:lineRule="auto"/>
      </w:pPr>
      <w:r>
        <w:t>`Log Outreach Attempt`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tracer l’envoi dans la table d’historique des tentatives</w:t>
      </w:r>
    </w:p>
    <w:p>
      <w:pPr>
        <w:pStyle w:val="Heading2"/>
        <w:spacing w:before="280" w:after="140" w:line="276" w:lineRule="auto"/>
      </w:pPr>
      <w:r>
        <w:t>`Send Internal Sent Confirmation`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une confirmation interne que le pack a bien été envoyé</w:t>
      </w:r>
    </w:p>
    <w:p>
      <w:pPr>
        <w:pStyle w:val="Heading1"/>
        <w:spacing w:before="360" w:after="200" w:line="276" w:lineRule="auto"/>
      </w:pPr>
      <w:r>
        <w:t>6.10 Gestion des erreurs et des cas alternatifs</w:t>
      </w:r>
    </w:p>
    <w:p>
      <w:pPr>
        <w:pStyle w:val="Heading2"/>
        <w:spacing w:before="280" w:after="140" w:line="276" w:lineRule="auto"/>
      </w:pPr>
      <w:r>
        <w:t>`Mark Pack Approval Error`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un pack en erreur si le chemin d’approbation échoue</w:t>
      </w:r>
    </w:p>
    <w:p>
      <w:pPr>
        <w:pStyle w:val="Heading2"/>
        <w:spacing w:before="280" w:after="140" w:line="276" w:lineRule="auto"/>
      </w:pPr>
      <w:r>
        <w:t>`Mark Pack Rejected`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le pack comme rejeté</w:t>
      </w:r>
    </w:p>
    <w:p>
      <w:pPr>
        <w:pStyle w:val="Heading2"/>
        <w:spacing w:before="280" w:after="140" w:line="276" w:lineRule="auto"/>
      </w:pPr>
      <w:r>
        <w:t>`Update Prospect Target Sent`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refléter l’état “envoyé” dans la table CRM du prospect</w:t>
      </w:r>
    </w:p>
    <w:p>
      <w:pPr>
        <w:pStyle w:val="Heading2"/>
        <w:spacing w:before="280" w:after="140" w:line="276" w:lineRule="auto"/>
      </w:pPr>
      <w:r>
        <w:t>`Update Prospect Target Approval Error`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refléter l’erreur d’approbation dans la cible CRM</w:t>
      </w:r>
    </w:p>
    <w:p>
      <w:pPr>
        <w:pStyle w:val="Heading2"/>
        <w:spacing w:before="280" w:after="140" w:line="276" w:lineRule="auto"/>
      </w:pPr>
      <w:r>
        <w:t>`Update Prospect Target Rejected`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refléter le rejet dans la cible CRM</w:t>
      </w:r>
    </w:p>
    <w:p>
      <w:pPr>
        <w:pStyle w:val="Heading2"/>
        <w:spacing w:before="280" w:after="140" w:line="276" w:lineRule="auto"/>
      </w:pPr>
      <w:r>
        <w:t>`Respond to Webhook`</w:t>
      </w:r>
    </w:p>
    <w:p>
      <w:pPr>
        <w:pStyle w:val="Heading2"/>
        <w:spacing w:before="280" w:after="140" w:line="276" w:lineRule="auto"/>
      </w:pPr>
      <w:r>
        <w:t>`Respond Rejected`</w:t>
      </w:r>
    </w:p>
    <w:p>
      <w:pPr>
        <w:pStyle w:val="Heading2"/>
        <w:spacing w:before="280" w:after="140" w:line="276" w:lineRule="auto"/>
      </w:pPr>
      <w:r>
        <w:t>`Respond Approval Error`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renvoyer une réponse HTTP lisible à l’appelant du webhook</w:t>
      </w:r>
    </w:p>
    <w:p>
      <w:pPr>
        <w:pStyle w:val="Heading1"/>
        <w:spacing w:before="360" w:after="200" w:line="276" w:lineRule="auto"/>
      </w:pPr>
      <w:r>
        <w:t>6.11 Génération des artefacts</w:t>
      </w:r>
    </w:p>
    <w:p>
      <w:pPr>
        <w:pStyle w:val="Heading2"/>
        <w:spacing w:before="280" w:after="140" w:line="276" w:lineRule="auto"/>
      </w:pPr>
      <w:r>
        <w:t>`Resolve Domain Catalogue`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choisir la variante catalogue la plus cohérente avec le domaine et le contexte</w:t>
      </w:r>
    </w:p>
    <w:p>
      <w:pPr>
        <w:pStyle w:val="Heading2"/>
        <w:spacing w:before="280" w:after="140" w:line="276" w:lineRule="auto"/>
      </w:pPr>
      <w:r>
        <w:t>`Build Catalogue Render Payload`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toutes les données d’entrée du moteur de rendu catalogue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 important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transporte aussi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calendly_url</w:t>
      </w:r>
    </w:p>
    <w:p>
      <w:pPr>
        <w:pStyle w:val="Heading2"/>
        <w:spacing w:before="280" w:after="140" w:line="276" w:lineRule="auto"/>
      </w:pPr>
      <w:r>
        <w:t>`render Catalogue Artifact`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appeler le service de rendu du mini-catalogue</w:t>
      </w:r>
    </w:p>
    <w:p>
      <w:pPr>
        <w:pStyle w:val="Heading2"/>
        <w:spacing w:before="280" w:after="140" w:line="276" w:lineRule="auto"/>
      </w:pPr>
      <w:r>
        <w:t>`Merge Catalogue Artifact`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réinjecter l’artefact catalogue dans le pack</w:t>
      </w:r>
    </w:p>
    <w:p>
      <w:pPr>
        <w:pStyle w:val="Heading2"/>
        <w:spacing w:before="280" w:after="140" w:line="276" w:lineRule="auto"/>
      </w:pPr>
      <w:r>
        <w:t>`Build Deck Render Payload`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les données du deck PowerPoint</w:t>
      </w:r>
    </w:p>
    <w:p>
      <w:pPr>
        <w:pStyle w:val="Heading2"/>
        <w:spacing w:before="280" w:after="140" w:line="276" w:lineRule="auto"/>
      </w:pPr>
      <w:r>
        <w:t>`Render Deck Artifact`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appeler le moteur de rendu du deck</w:t>
      </w:r>
    </w:p>
    <w:p>
      <w:pPr>
        <w:pStyle w:val="Heading2"/>
        <w:spacing w:before="280" w:after="140" w:line="276" w:lineRule="auto"/>
      </w:pPr>
      <w:r>
        <w:t>`Merge Deck Artifact`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réinjecter l’artefact deck dans le pack</w:t>
      </w:r>
    </w:p>
    <w:p>
      <w:pPr>
        <w:pStyle w:val="Heading1"/>
        <w:spacing w:before="360" w:after="200" w:line="276" w:lineRule="auto"/>
      </w:pPr>
      <w:r>
        <w:t>7. Ce qui a été configuré récemment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changements récemment opérés sont les suivants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correction du champ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vérification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mise à jour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Executive Letter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mise à jour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validation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Store Pack In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validation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Approval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préparation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Pack Payload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préparation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Send Context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préparation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External Prospect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10.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préparation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Mark Pack 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ajout du schéma post-audit via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20260605150000_post_audit_schema.sql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mise à jour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save-form-response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persister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context_snapshot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déclenchement automatique du webhook n8n post-audit quand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completionPercentage &gt;= 80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création de la table de suivi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</w:p>
    <w:p>
      <w:pPr>
        <w:pStyle w:val="Heading1"/>
        <w:spacing w:before="360" w:after="200" w:line="276" w:lineRule="auto"/>
      </w:pPr>
      <w:r>
        <w:t>8. Lien avec le nouveau formulaire d’audit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nouveau formulaire premium du repo est préparé dans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src/pages/ProspectAuditFormPage.tsx (/Users/marius_ayoro/Documents/GitHub/connect-ia-bloom/src/pages/ProspectAuditFormPage.tsx)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src/lib/prospect-audit.ts (/Users/marius_ayoro/Documents/GitHub/connect-ia-bloom/src/lib/prospect-audit.ts)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logique Supabase liée au formulaire est préparée dans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supabase/functions/resolve-invitation/index.ts (/Users/marius_ayoro/Documents/GitHub/connect-ia-bloom/supabase/functions/resolve-invitation/index.ts)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supabase/functions/save-form-response/index.ts (/Users/marius_ayoro/Documents/GitHub/connect-ia-bloom/supabase/functions/save-form-response/index.ts)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supabase/functions/_shared/prospect-audit-context.ts (/Users/marius_ayoro/Documents/GitHub/connect-ia-bloom/supabase/functions/_shared/prospect-audit-context.ts)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Aujourd’hui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email sait déjà envoyer un lien dynamique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frontend d’audit utilise la chaîne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resolve-invitation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save-form-response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 peut être déclenché automatiquement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table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permet le suivi non-tech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domaine public et la chaîne post-audit peuvent être testés de bout en bout</w:t>
      </w:r>
    </w:p>
    <w:p>
      <w:pPr>
        <w:pStyle w:val="Heading1"/>
        <w:spacing w:before="360" w:after="200" w:line="276" w:lineRule="auto"/>
      </w:pPr>
      <w:r>
        <w:t>9. Étapes recommandées après ce guide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build principal étant en place, les prochaines étapes recommandées sont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tester le flux complet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V3 -&gt; formulaire -&gt; post-audit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valider la création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valider l’email expert et, si activé, l’alerte Slack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l’idempotence en cas de resoumission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monitorer les premiers cas réels en production</w:t>
      </w:r>
    </w:p>
    <w:p>
      <w:pPr>
        <w:pStyle w:val="Heading1"/>
        <w:spacing w:before="360" w:after="200" w:line="276" w:lineRule="auto"/>
      </w:pPr>
      <w:r>
        <w:t>10. Références utiles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implementation-audit-dynamique-workflow.md (/Users/marius_ayoro/Documents/GitHub/connect-ia-bloom/docs/transferai-admin/implementation-audit-dynamique-workflow.md)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modele-fiche-pre-rdv-audit-trilingue.md (/Users/marius_ayoro/Documents/GitHub/connect-ia-bloom/docs/transferai-admin/modele-fiche-pre-rdv-audit-trilingue.md)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n8n-orientation-service-post-audit.md (/Users/marius_ayoro/Documents/GitHub/connect-ia-bloom/docs/transferai-admin/n8n-orientation-service-post-audit.md)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71_Guide_Utilisateur_Workflow_Post_Audit_CRM_Aware.md (/Users/marius_ayoro/Documents/GitHub/connect-ia-bloom/docs/transferai-admin/71_Guide_Utilisateur_Workflow_Post_Audit_CRM_Aware.md)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74_n8n_Post_Audit_Expert_Routing_V2_Exportable.json (/Users/marius_ayoro/Documents/GitHub/connect-ia-bloom/docs/transferai-admin/74_n8n_Post_Audit_Expert_Routing_V2_Exportable.json)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