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B3463" w14:textId="77777777" w:rsidR="00F22569" w:rsidRDefault="00DB7D60">
      <w:pPr>
        <w:jc w:val="center"/>
      </w:pPr>
      <w:r>
        <w:t>PROPOSITION PROFESSIONNELLE</w:t>
        <w:br/>
        <w:t>TRANSFERAI AFRICA</w:t>
      </w:r>
    </w:p>
    <w:p w14:paraId="2D558BB7" w14:textId="2B89A8B5" w:rsidR="00F22569" w:rsidRDefault="00DB7D60">
      <w:pPr>
        <w:jc w:val="center"/>
      </w:pPr>
      <w:r>
        <w:t>Solutions IA &amp; Formations Stratégiques</w:t>
        <w:br/>
        <w:t>pour ELTON CÔTE D’IVOIRE</w:t>
      </w:r>
    </w:p>
    <w:p w14:paraId="2AEA38BA" w14:textId="77777777" w:rsidR="00F22569" w:rsidRDefault="00DB7D60">
      <w:pPr>
        <w:pStyle w:val="Heading1"/>
      </w:pPr>
      <w:r>
        <w:t>Présentation</w:t>
      </w:r>
    </w:p>
    <w:p w14:paraId="768F0006" w14:textId="77777777" w:rsidR="00F22569" w:rsidRDefault="00DB7D60">
      <w:r>
        <w:t>TransferAI Africa accompagne les entreprises africaines dans l’amélioration de leur performance grâce à l’intelligence artificielle, à la structuration des processus métier et à la montée en compétences des équipes. En Côte d’Ivoire, TransferAI se positionne comme le Hub IA de Nettelecom CI, avec pour mission de transformer les usages de l’IA en solutions concrètes, utiles et immédiatement activables pour les organisations.</w:t>
      </w:r>
    </w:p>
    <w:p w14:paraId="6700D8D1" w14:textId="77777777" w:rsidR="00F22569" w:rsidRDefault="00DB7D60">
      <w:pPr>
        <w:pStyle w:val="IntenseQuote"/>
      </w:pPr>
      <w:r>
        <w:t>« En tant que Hub IA de Nettelecom CI, nous ne proposons pas de l’IA pour l’IA. Nous proposons des solutions concrètes de performance, de formation et de transformation adaptées aux réalités terrain. »</w:t>
      </w:r>
    </w:p>
    <w:p w14:paraId="268AC6AF" w14:textId="77777777" w:rsidR="00F22569" w:rsidRDefault="00DB7D60">
      <w:pPr>
        <w:pStyle w:val="Heading1"/>
      </w:pPr>
      <w:r>
        <w:t>Objectifs pour ELTON CI</w:t>
      </w:r>
    </w:p>
    <w:p w14:paraId="34F4EB9C" w14:textId="77777777" w:rsidR="00F22569" w:rsidRDefault="00DB7D60">
      <w:pPr>
        <w:pStyle w:val="ListBullet"/>
      </w:pPr>
      <w:r>
        <w:t>Fluidifier les processus opérationnels et administratifs</w:t>
      </w:r>
    </w:p>
    <w:p w14:paraId="32FF96D1" w14:textId="77777777" w:rsidR="00F22569" w:rsidRDefault="00DB7D60">
      <w:pPr>
        <w:pStyle w:val="ListBullet"/>
      </w:pPr>
      <w:r>
        <w:t>Optimiser le suivi des comptes professionnels et du recouvrement</w:t>
      </w:r>
    </w:p>
    <w:p w14:paraId="12498CEC" w14:textId="77777777" w:rsidR="00F22569" w:rsidRDefault="00DB7D60">
      <w:pPr>
        <w:pStyle w:val="ListBullet"/>
      </w:pPr>
      <w:r>
        <w:t>Renforcer le pilotage de flotte et des cartes carburant</w:t>
      </w:r>
    </w:p>
    <w:p w14:paraId="2AAFE7AB" w14:textId="77777777" w:rsidR="00F22569" w:rsidRDefault="00DB7D60">
      <w:pPr>
        <w:pStyle w:val="ListBullet"/>
      </w:pPr>
      <w:r>
        <w:t>Améliorer la qualité du reporting et des tableaux de bord</w:t>
      </w:r>
    </w:p>
    <w:p w14:paraId="39574BDC" w14:textId="77777777" w:rsidR="00F22569" w:rsidRDefault="00DB7D60">
      <w:pPr>
        <w:pStyle w:val="ListBullet"/>
      </w:pPr>
      <w:r>
        <w:t>Former les équipes à des usages concrets et rentables de l’IA</w:t>
      </w:r>
    </w:p>
    <w:p w14:paraId="65060E5C" w14:textId="77777777" w:rsidR="00F22569" w:rsidRDefault="00DB7D60">
      <w:pPr>
        <w:pStyle w:val="ListBullet"/>
      </w:pPr>
      <w:r>
        <w:t>Déployer des solutions utiles, sobres et mesurables</w:t>
      </w:r>
    </w:p>
    <w:p w14:paraId="3461DEA7" w14:textId="77777777" w:rsidR="00F22569" w:rsidRDefault="00DB7D60">
      <w:pPr>
        <w:pStyle w:val="Heading1"/>
      </w:pPr>
      <w:r>
        <w:t>Pourquoi cette approche est pertinente pour ELTON CI</w:t>
      </w:r>
    </w:p>
    <w:p w14:paraId="29A7707B" w14:textId="77777777" w:rsidR="00F22569" w:rsidRDefault="00DB7D60">
      <w:r>
        <w:t>Notre approche s’appuie sur les réalités métiers observées dans les secteurs de l’énergie, de la distribution et des services associés. Les enjeux prioritaires identifiés incluent :</w:t>
      </w:r>
    </w:p>
    <w:p w14:paraId="1792E0EC" w14:textId="77777777" w:rsidR="00F22569" w:rsidRDefault="00DB7D60">
      <w:pPr>
        <w:pStyle w:val="ListBullet"/>
      </w:pPr>
      <w:r>
        <w:t>Le pilotage des comptes professionnels</w:t>
      </w:r>
    </w:p>
    <w:p w14:paraId="78CB8716" w14:textId="77777777" w:rsidR="00F22569" w:rsidRDefault="00DB7D60">
      <w:pPr>
        <w:pStyle w:val="ListBullet"/>
      </w:pPr>
      <w:r>
        <w:t>Le suivi des échéances et du recouvrement</w:t>
      </w:r>
    </w:p>
    <w:p w14:paraId="330A5087" w14:textId="77777777" w:rsidR="00F22569" w:rsidRDefault="00DB7D60">
      <w:pPr>
        <w:pStyle w:val="ListBullet"/>
      </w:pPr>
      <w:r>
        <w:t>La gestion intelligente des données de flotte</w:t>
      </w:r>
    </w:p>
    <w:p w14:paraId="2DC01659" w14:textId="77777777" w:rsidR="00F22569" w:rsidRDefault="00DB7D60">
      <w:pPr>
        <w:pStyle w:val="ListBullet"/>
      </w:pPr>
      <w:r>
        <w:t>L’optimisation des services automobiles</w:t>
      </w:r>
    </w:p>
    <w:p w14:paraId="3D261CDD" w14:textId="77777777" w:rsidR="00F22569" w:rsidRDefault="00DB7D60">
      <w:pPr>
        <w:pStyle w:val="ListBullet"/>
      </w:pPr>
      <w:r>
        <w:t>La diffusion rapide des procédures et standards internes</w:t>
      </w:r>
    </w:p>
    <w:p w14:paraId="7A2E1D87" w14:textId="77777777" w:rsidR="00F22569" w:rsidRDefault="00DB7D60">
      <w:pPr>
        <w:pStyle w:val="Heading1"/>
      </w:pPr>
      <w:r>
        <w:t>Notre Porte d’Entrée : Audit IA Gratuit</w:t>
      </w:r>
    </w:p>
    <w:p w14:paraId="562FBCAD" w14:textId="77777777" w:rsidR="00F22569" w:rsidRDefault="00DB7D60">
      <w:r>
        <w:rPr>
          <w:b/>
        </w:rPr>
        <w:t>Audit IA – Comptes Professionnels, Flotte &amp; Performance Commerciale</w:t>
      </w:r>
      <w:r>
        <w:rPr>
          <w:b/>
        </w:rPr>
        <w:br/>
      </w:r>
      <w:r>
        <w:t>Cette mission permet d’identifier rapidement les points de friction, les gains rapides possibles et les opportunités de transformation prioritaires.</w:t>
      </w:r>
    </w:p>
    <w:p w14:paraId="006623A0" w14:textId="77777777" w:rsidR="00F22569" w:rsidRDefault="00DB7D60">
      <w:pPr>
        <w:pStyle w:val="Heading1"/>
      </w:pPr>
      <w:r>
        <w:t>Nos Solutions &amp; Accompagnements</w:t>
      </w:r>
    </w:p>
    <w:p w14:paraId="69715E61" w14:textId="77777777" w:rsidR="00F22569" w:rsidRDefault="00DB7D60">
      <w:r>
        <w:rPr>
          <w:b/>
          <w:color w:val="003366"/>
        </w:rPr>
        <w:t>Audit, cadrage &amp; feuille de route</w:t>
      </w:r>
      <w:r>
        <w:rPr>
          <w:b/>
          <w:color w:val="003366"/>
        </w:rPr>
        <w:br/>
      </w:r>
      <w:r>
        <w:t>Cartographie des flux, identification des quick wins et construction d’une stratégie progressive d’adoption IA.</w:t>
      </w:r>
    </w:p>
    <w:p w14:paraId="3D3EA45A" w14:textId="77777777" w:rsidR="00F22569" w:rsidRDefault="00DB7D60">
      <w:r>
        <w:rPr>
          <w:b/>
          <w:color w:val="003366"/>
        </w:rPr>
        <w:t>Pilotage des comptes professionnels &amp; recouvrement</w:t>
      </w:r>
      <w:r>
        <w:rPr>
          <w:b/>
          <w:color w:val="003366"/>
        </w:rPr>
        <w:br/>
      </w:r>
      <w:r>
        <w:t>Automatisation des synthèses, suivi client amélioré et optimisation des revues de portefeuille.</w:t>
      </w:r>
    </w:p>
    <w:p w14:paraId="2733F540" w14:textId="77777777" w:rsidR="00F22569" w:rsidRDefault="00DB7D60">
      <w:r>
        <w:rPr>
          <w:b/>
          <w:color w:val="003366"/>
        </w:rPr>
        <w:t>Gestion de flotte &amp; opérations</w:t>
      </w:r>
      <w:r>
        <w:rPr>
          <w:b/>
          <w:color w:val="003366"/>
        </w:rPr>
        <w:br/>
      </w:r>
      <w:r>
        <w:t>Valorisation des données flotte, tableaux de bord simplifiés et pilotage des consommations.</w:t>
      </w:r>
    </w:p>
    <w:p w14:paraId="0F5468F3" w14:textId="77777777" w:rsidR="00F22569" w:rsidRDefault="00DB7D60">
      <w:r>
        <w:rPr>
          <w:b/>
          <w:color w:val="003366"/>
        </w:rPr>
        <w:t>Formation &amp; conduite du changement</w:t>
      </w:r>
      <w:r>
        <w:rPr>
          <w:b/>
          <w:color w:val="003366"/>
        </w:rPr>
        <w:br/>
      </w:r>
      <w:r>
        <w:t>Accompagnement des dirigeants, managers et équipes opérationnelles vers des usages IA concrets.</w:t>
      </w:r>
    </w:p>
    <w:p w14:paraId="344AFDCE" w14:textId="77777777" w:rsidR="00F22569" w:rsidRDefault="00DB7D60">
      <w:pPr>
        <w:pStyle w:val="Heading1"/>
      </w:pPr>
      <w:r>
        <w:t>Programme de Formations Prioritaires</w:t>
      </w:r>
    </w:p>
    <w:p>
      <w:pPr/>
      <w:r>
        <w:t>Dans la perspective du lancement, au mois de juillet, d’une formation dédiée aux secrétaires et assistants de direction, nous recommandons d’intégrer ce public parmi les priorités de montée en compétences IA.</w:t>
      </w:r>
    </w:p>
    <w:p>
      <w:pPr/>
      <w:r>
        <w:t>Ces fonctions occupent une place stratégique dans la circulation de l’information, la préparation des décisions et la qualité d’exécution administrative. Lorsqu’ils sont bien formés à l’IA, les secrétaires et assistants de direction deviennent un levier direct de productivité, de réactivité et de fiabilité pour l’ensemble de l’organisation.</w:t>
      </w:r>
    </w:p>
    <w:p>
      <w:pPr>
        <w:pStyle w:val="ListNumber"/>
      </w:pPr>
      <w:r>
        <w:t>IA pour Secrétaires &amp; Assistants de Direction : Structurer les comptes rendus, préparer les dossiers, accélérer les courriers et fiabiliser le suivi des échéances de direction.</w:t>
      </w:r>
    </w:p>
    <w:p>
      <w:pPr>
        <w:pStyle w:val="ListNumber"/>
      </w:pPr>
      <w:r>
        <w:t>IA pour Dirigeants : Vision &amp; Stratégie : Comprendre les enjeux IA et construire une stratégie d’adoption adaptée.</w:t>
      </w:r>
    </w:p>
    <w:p>
      <w:pPr>
        <w:pStyle w:val="ListNumber"/>
      </w:pPr>
      <w:r>
        <w:t>Gestion de Flotte &amp; Logistique IA : Optimiser les opérations et l’analyse des données de flotte.</w:t>
      </w:r>
    </w:p>
    <w:p>
      <w:pPr>
        <w:pStyle w:val="ListNumber"/>
      </w:pPr>
      <w:r>
        <w:t>Reporting Financier Automatisé : Automatiser les rapports et accélérer la prise de décision.</w:t>
      </w:r>
    </w:p>
    <w:p>
      <w:pPr>
        <w:pStyle w:val="ListNumber"/>
      </w:pPr>
      <w:r>
        <w:t>Comptabilité Automatisée avec l’IA : Réduire les tâches répétitives et améliorer la fiabilité comptable.</w:t>
      </w:r>
    </w:p>
    <w:p>
      <w:pPr>
        <w:pStyle w:val="ListNumber"/>
      </w:pPr>
      <w:r>
        <w:t>Audit Interne Augmenté par l’IA : Renforcer les contrôles et l’analyse des risques.</w:t>
      </w:r>
    </w:p>
    <w:p>
      <w:pPr>
        <w:pStyle w:val="ListNumber"/>
      </w:pPr>
      <w:r>
        <w:t>CRM Intelligent &amp; IA : Améliorer le suivi client et les actions commerciales.</w:t>
      </w:r>
    </w:p>
    <w:p>
      <w:pPr>
        <w:pStyle w:val="ListNumber"/>
      </w:pPr>
      <w:r>
        <w:t>Optimisation des Processus Métier : Identifier et automatiser les tâches à faible valeur ajoutée.</w:t>
      </w:r>
    </w:p>
    <w:p>
      <w:pPr>
        <w:pStyle w:val="ListNumber"/>
      </w:pPr>
      <w:r>
        <w:t>Protection des Données &amp; Gouvernance IA : Maîtriser les bonnes pratiques de sécurité et conformité.</w:t>
      </w:r>
    </w:p>
    <w:p>
      <w:pPr>
        <w:pStyle w:val="ListBullet"/>
      </w:pPr>
      <w:r>
        <w:t>Rédiger et synthétiser les réunions de direction avec des comptes rendus, plans d’action et relances produits plus rapidement.</w:t>
      </w:r>
    </w:p>
    <w:p>
      <w:pPr>
        <w:pStyle w:val="ListBullet"/>
      </w:pPr>
      <w:r>
        <w:t>Préparer les notes, courriers, présentations et dossiers décisionnels avec un meilleur niveau de qualité rédactionnelle et moins de temps de production.</w:t>
      </w:r>
    </w:p>
    <w:p>
      <w:pPr>
        <w:pStyle w:val="ListBullet"/>
      </w:pPr>
      <w:r>
        <w:t>Suivre les agendas, échéances, validations et demandes transverses afin de réduire les oublis et de fluidifier la coordination entre directions.</w:t>
      </w:r>
    </w:p>
    <w:p w14:paraId="520DD0B9" w14:textId="77777777" w:rsidR="00F22569" w:rsidRDefault="00DB7D60">
      <w:pPr>
        <w:pStyle w:val="Heading1"/>
      </w:pPr>
      <w:r>
        <w:t>Résultats Attendus</w:t>
      </w:r>
    </w:p>
    <w:p w14:paraId="770D2C56" w14:textId="77777777" w:rsidR="00F22569" w:rsidRDefault="00DB7D60">
      <w:pPr>
        <w:pStyle w:val="ListBullet"/>
      </w:pPr>
      <w:r>
        <w:t>Réduction des pertes de temps opérationnelles</w:t>
      </w:r>
    </w:p>
    <w:p w14:paraId="4F6AC4FF" w14:textId="77777777" w:rsidR="00F22569" w:rsidRDefault="00DB7D60">
      <w:pPr>
        <w:pStyle w:val="ListBullet"/>
      </w:pPr>
      <w:r>
        <w:t>Amélioration de la visibilité managériale</w:t>
      </w:r>
    </w:p>
    <w:p w14:paraId="4E1437BD" w14:textId="77777777" w:rsidR="00F22569" w:rsidRDefault="00DB7D60">
      <w:pPr>
        <w:pStyle w:val="ListBullet"/>
      </w:pPr>
      <w:r>
        <w:t>Meilleur suivi des données commerciales et financières</w:t>
      </w:r>
    </w:p>
    <w:p w14:paraId="78AB23F9" w14:textId="77777777" w:rsidR="00F22569" w:rsidRDefault="00DB7D60">
      <w:pPr>
        <w:pStyle w:val="ListBullet"/>
      </w:pPr>
      <w:r>
        <w:t>Montée en compétences des équipes</w:t>
      </w:r>
    </w:p>
    <w:p w14:paraId="58901140" w14:textId="77777777" w:rsidR="00F22569" w:rsidRDefault="00DB7D60">
      <w:pPr>
        <w:pStyle w:val="ListBullet"/>
      </w:pPr>
      <w:r>
        <w:t>Accélération de la prise de décision</w:t>
      </w:r>
    </w:p>
    <w:p w14:paraId="29F29F97" w14:textId="77777777" w:rsidR="00F22569" w:rsidRDefault="00DB7D60">
      <w:pPr>
        <w:pStyle w:val="ListBullet"/>
      </w:pPr>
      <w:r>
        <w:t>Amélioration de la qualité de service</w:t>
      </w:r>
    </w:p>
    <w:p w14:paraId="78892B94" w14:textId="339CCD74" w:rsidR="00F22569" w:rsidRDefault="00F22569" w:rsidP="008B4BA5">
      <w:pPr>
        <w:pStyle w:val="IntenseQuote"/>
        <w:ind w:left="0"/>
      </w:pPr>
    </w:p>
    <w:sectPr w:rsidR="00F22569"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BD027" w14:textId="77777777" w:rsidR="00DB7D60" w:rsidRDefault="00DB7D60">
      <w:pPr>
        <w:spacing w:after="0" w:line="240" w:lineRule="auto"/>
      </w:pPr>
      <w:r>
        <w:separator/>
      </w:r>
    </w:p>
  </w:endnote>
  <w:endnote w:type="continuationSeparator" w:id="0">
    <w:p w14:paraId="03E561F9" w14:textId="77777777" w:rsidR="00DB7D60" w:rsidRDefault="00DB7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C2514" w14:textId="77777777" w:rsidR="00F22569" w:rsidRDefault="00DB7D60">
    <w:pPr>
      <w:pStyle w:val="Footer"/>
      <w:jc w:val="center"/>
    </w:pPr>
    <w:r>
      <w:t>TransferAI Africa | Catalogue Professionnel ELTON CI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9B34F" w14:textId="77777777" w:rsidR="00DB7D60" w:rsidRDefault="00DB7D60">
      <w:pPr>
        <w:spacing w:after="0" w:line="240" w:lineRule="auto"/>
      </w:pPr>
      <w:r>
        <w:separator/>
      </w:r>
    </w:p>
  </w:footnote>
  <w:footnote w:type="continuationSeparator" w:id="0">
    <w:p w14:paraId="4D7A02F8" w14:textId="77777777" w:rsidR="00DB7D60" w:rsidRDefault="00DB7D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992370">
    <w:abstractNumId w:val="8"/>
  </w:num>
  <w:num w:numId="2" w16cid:durableId="1707900175">
    <w:abstractNumId w:val="6"/>
  </w:num>
  <w:num w:numId="3" w16cid:durableId="571351668">
    <w:abstractNumId w:val="5"/>
  </w:num>
  <w:num w:numId="4" w16cid:durableId="1780756166">
    <w:abstractNumId w:val="4"/>
  </w:num>
  <w:num w:numId="5" w16cid:durableId="2037152055">
    <w:abstractNumId w:val="7"/>
  </w:num>
  <w:num w:numId="6" w16cid:durableId="1724451258">
    <w:abstractNumId w:val="3"/>
  </w:num>
  <w:num w:numId="7" w16cid:durableId="1235431122">
    <w:abstractNumId w:val="2"/>
  </w:num>
  <w:num w:numId="8" w16cid:durableId="1103918955">
    <w:abstractNumId w:val="1"/>
  </w:num>
  <w:num w:numId="9" w16cid:durableId="92021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3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6D92"/>
    <w:rsid w:val="0029639D"/>
    <w:rsid w:val="00326F90"/>
    <w:rsid w:val="00367E1A"/>
    <w:rsid w:val="003B7D28"/>
    <w:rsid w:val="00543452"/>
    <w:rsid w:val="006712E5"/>
    <w:rsid w:val="008B4BA5"/>
    <w:rsid w:val="00AA1D8D"/>
    <w:rsid w:val="00B47730"/>
    <w:rsid w:val="00CB0664"/>
    <w:rsid w:val="00DB7D60"/>
    <w:rsid w:val="00F22569"/>
    <w:rsid w:val="00FC693F"/>
    <w:rsid w:val="00FF052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1BDC2C"/>
  <w14:defaultImageDpi w14:val="300"/>
  <w15:docId w15:val="{46DEE1D0-D5D0-7249-BA03-1BC72B65F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485</Words>
  <Characters>2766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vtoc limited</cp:lastModifiedBy>
  <cp:revision>2</cp:revision>
  <dcterms:created xsi:type="dcterms:W3CDTF">2026-05-26T19:02:00Z</dcterms:created>
  <dcterms:modified xsi:type="dcterms:W3CDTF">2026-05-26T19:02:00Z</dcterms:modified>
  <cp:category/>
</cp:coreProperties>
</file>