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w:t>
      </w:r>
    </w:p>
    <w:p w14:paraId="6700D8D1" w14:textId="77777777" w:rsidR="00F22569" w:rsidRDefault="00DB7D60">
      <w:pPr>
        <w:pStyle w:val="IntenseQuote"/>
      </w:pPr>
      <w:r>
        <w:t>«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Dans la perspective du lancement, au mois de juillet, d’une formation dédiée aux secrétaires et assistants de direction, nous recommandons d’intégrer ce public parmi les priorités de montée en compétences IA.</w:t>
      </w:r>
    </w:p>
    <w:p>
      <w:pPr/>
      <w:r>
        <w:t>Ces fonctions occupent une place stratégique dans la circulation de l’information, la préparation des décisions et la qualité d’exécution administrative. Lorsqu’ils sont bien formés à l’IA, les secrétaires et assistants de direction deviennent un levier direct de productivité, de réactivité et de fiabilité pour l’ensemble de l’organisation.</w:t>
      </w:r>
    </w:p>
    <w:p>
      <w:pPr>
        <w:pStyle w:val="ListNumber"/>
      </w:pPr>
      <w:r>
        <w:t>IA pour Secrétaires &amp; Assistants de Direction : Structurer les comptes rendus, préparer les dossiers, accélérer les courriers et fiabiliser le suivi des échéances de direction.</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Heading2"/>
      </w:pPr>
      <w:r>
        <w:t>3 tâches clés pour convaincre les décideurs d’inscrire ce public dès juillet</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