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rPr>
          <w:rFonts w:ascii="Aptos" w:hAnsi="Aptos"/>
          <w:b w:val="0"/>
          <w:color w:val="202C38"/>
          <w:sz w:val="22"/>
        </w:rPr>
        <w:t>Abidjan, le 26 mai 2026</w:t>
      </w:r>
    </w:p>
    <w:p>
      <w:pPr>
        <w:spacing w:after="0"/>
      </w:pPr>
      <w:r>
        <w:rPr>
          <w:rFonts w:ascii="Aptos" w:hAnsi="Aptos"/>
          <w:b w:val="0"/>
          <w:color w:val="202C38"/>
          <w:sz w:val="22"/>
        </w:rPr>
        <w:t>À l'attention de Monsieur le Directeur Général</w:t>
      </w:r>
    </w:p>
    <w:p>
      <w:pPr>
        <w:spacing w:after="0"/>
      </w:pPr>
      <w:r>
        <w:rPr>
          <w:rFonts w:ascii="Aptos" w:hAnsi="Aptos"/>
          <w:b w:val="0"/>
          <w:color w:val="202C38"/>
          <w:sz w:val="22"/>
        </w:rPr>
        <w:t>ELTON Oil CI</w:t>
      </w:r>
    </w:p>
    <w:p>
      <w:pPr>
        <w:spacing w:after="0"/>
      </w:pPr>
      <w:r>
        <w:rPr>
          <w:rFonts w:ascii="Aptos" w:hAnsi="Aptos"/>
          <w:b w:val="0"/>
          <w:color w:val="202C38"/>
          <w:sz w:val="22"/>
        </w:rPr>
        <w:t>Abidjan, Côte d'Ivoire</w:t>
      </w:r>
    </w:p>
    <w:p>
      <w:pPr>
        <w:spacing w:after="0"/>
      </w:pPr>
    </w:p>
    <w:p>
      <w:pPr>
        <w:spacing w:after="200"/>
      </w:pPr>
      <w:r>
        <w:rPr>
          <w:rFonts w:ascii="Aptos" w:hAnsi="Aptos"/>
          <w:b/>
          <w:color w:val="B4894C"/>
          <w:sz w:val="22"/>
        </w:rPr>
        <w:t>Objet : Proposition d'audit gratuit, d'accompagnement et de formation pour ELTON Oil CI</w:t>
      </w:r>
    </w:p>
    <w:p>
      <w:pPr>
        <w:spacing w:after="120"/>
      </w:pPr>
      <w:r>
        <w:rPr>
          <w:rFonts w:ascii="Aptos" w:hAnsi="Aptos"/>
          <w:b w:val="0"/>
          <w:color w:val="202C38"/>
          <w:sz w:val="22"/>
        </w:rPr>
        <w:t>Monsieur le Directeur Général,</w:t>
      </w:r>
    </w:p>
    <w:p>
      <w:pPr>
        <w:spacing w:after="120" w:line="259" w:lineRule="auto"/>
        <w:jc w:val="both"/>
      </w:pPr>
      <w:r>
        <w:rPr>
          <w:rFonts w:ascii="Aptos" w:hAnsi="Aptos"/>
          <w:b w:val="0"/>
          <w:color w:val="202C38"/>
          <w:sz w:val="22"/>
        </w:rPr>
        <w:t>TransferAI, hub IA de Nettelecom CI, accompagne les entreprises dans l'identification, la structuration et la mise en œuvre d'usages concrets de l'intelligence artificielle. Notre approche associe diagnostic, automatisation, pilotage, formation et gouvernance, afin de transformer l'IA en levier opérationnel réellement utile pour les équipes.</w:t>
      </w:r>
    </w:p>
    <w:p>
      <w:pPr>
        <w:spacing w:after="120" w:line="259" w:lineRule="auto"/>
        <w:jc w:val="both"/>
      </w:pPr>
      <w:r>
        <w:rPr>
          <w:rFonts w:ascii="Aptos" w:hAnsi="Aptos"/>
          <w:b w:val="0"/>
          <w:color w:val="202C38"/>
          <w:sz w:val="22"/>
        </w:rPr>
        <w:t>TransferAI s'appuie sur une équipe de 13 experts en intelligence artificielle, mobilisable sur des enjeux de diagnostic, d'automatisation, de pilotage, de formation et de gouvernance. Cette équipe intervient sur différents secteurs d'activité, ce qui nous permet d'adapter les solutions proposées aux contraintes métier, aux exigences de confidentialité et aux réalités d'exécution propres à chaque entreprise.</w:t>
      </w:r>
    </w:p>
    <w:p>
      <w:pPr>
        <w:spacing w:after="120" w:line="259" w:lineRule="auto"/>
        <w:jc w:val="both"/>
      </w:pPr>
      <w:r>
        <w:rPr>
          <w:rFonts w:ascii="Aptos" w:hAnsi="Aptos"/>
          <w:b w:val="0"/>
          <w:color w:val="202C38"/>
          <w:sz w:val="22"/>
        </w:rPr>
        <w:t>En observant les activités visibles d'ELTON CI, notamment autour des comptes professionnels, de la carte carburant, du suivi de flotte, des services auto, des lubrifiants, ainsi que de la relation client et des opérations terrain, nous pensons qu'il existe plusieurs leviers sur lesquels nous pourrions utilement vous accompagner.</w:t>
      </w:r>
    </w:p>
    <w:p>
      <w:pPr>
        <w:spacing w:after="120" w:line="259" w:lineRule="auto"/>
        <w:jc w:val="both"/>
      </w:pPr>
      <w:r>
        <w:rPr>
          <w:rFonts w:ascii="Aptos" w:hAnsi="Aptos"/>
          <w:b w:val="0"/>
          <w:color w:val="202C38"/>
          <w:sz w:val="22"/>
        </w:rPr>
        <w:t>Notre démarche ne consiste pas à proposer une IA générique ou un simple effet d'annonce. Nous privilégions au contraire une logique de service : cadrer les priorités, qualifier les cas d'usage, former les bonnes équipes et lancer des pilotes mesurables dans un cadre maîtrisé.</w:t>
      </w:r>
    </w:p>
    <w:p>
      <w:pPr>
        <w:spacing w:after="80"/>
      </w:pPr>
      <w:r>
        <w:rPr>
          <w:rFonts w:ascii="Aptos" w:hAnsi="Aptos"/>
          <w:b/>
          <w:color w:val="202C38"/>
          <w:sz w:val="22"/>
        </w:rPr>
        <w:t>À ce stade, les cas d'usage qui nous paraissent les plus pertinents pour ELTON CI sont les suivants :</w:t>
      </w:r>
    </w:p>
    <w:p>
      <w:pPr>
        <w:pStyle w:val="ListBullet"/>
        <w:spacing w:after="20" w:line="245" w:lineRule="auto"/>
      </w:pPr>
      <w:r>
        <w:rPr>
          <w:rFonts w:ascii="Aptos" w:hAnsi="Aptos"/>
          <w:b w:val="0"/>
          <w:color w:val="202C38"/>
          <w:sz w:val="22"/>
        </w:rPr>
        <w:t>le pilotage des comptes professionnels et du recouvrement, avec des relances mieux préparées, des revues de portefeuille plus rapides et une meilleure priorisation des comptes sensibles ;</w:t>
      </w:r>
    </w:p>
    <w:p>
      <w:pPr>
        <w:pStyle w:val="ListBullet"/>
        <w:spacing w:after="20" w:line="245" w:lineRule="auto"/>
      </w:pPr>
      <w:r>
        <w:rPr>
          <w:rFonts w:ascii="Aptos" w:hAnsi="Aptos"/>
          <w:b w:val="0"/>
          <w:color w:val="202C38"/>
          <w:sz w:val="22"/>
        </w:rPr>
        <w:t>le suivi de la flotte, des cartes carburant et des consommations, afin de consolider les données, détecter plus vite les écarts et mieux piloter les coûts ;</w:t>
      </w:r>
    </w:p>
    <w:p>
      <w:pPr>
        <w:pStyle w:val="ListBullet"/>
        <w:spacing w:after="20" w:line="245" w:lineRule="auto"/>
      </w:pPr>
      <w:r>
        <w:rPr>
          <w:rFonts w:ascii="Aptos" w:hAnsi="Aptos"/>
          <w:b w:val="0"/>
          <w:color w:val="202C38"/>
          <w:sz w:val="22"/>
        </w:rPr>
        <w:t>le service client et les services auto, pour homogénéiser les réponses, améliorer la réactivité opérationnelle et mieux exploiter l'historique des interactions ;</w:t>
      </w:r>
    </w:p>
    <w:p>
      <w:pPr>
        <w:pStyle w:val="ListBullet"/>
        <w:spacing w:after="20" w:line="245" w:lineRule="auto"/>
      </w:pPr>
      <w:r>
        <w:rPr>
          <w:rFonts w:ascii="Aptos" w:hAnsi="Aptos"/>
          <w:b w:val="0"/>
          <w:color w:val="202C38"/>
          <w:sz w:val="22"/>
        </w:rPr>
        <w:t>la diffusion des procédures internes et la montée en compétence des équipes, grâce à une base de connaissances plus accessible et à des formations ciblées sur les usages réellement utiles.</w:t>
      </w:r>
    </w:p>
    <w:p>
      <w:pPr>
        <w:spacing w:after="120" w:line="259" w:lineRule="auto"/>
        <w:jc w:val="both"/>
      </w:pPr>
      <w:r>
        <w:rPr>
          <w:rFonts w:ascii="Aptos" w:hAnsi="Aptos"/>
          <w:b w:val="0"/>
          <w:color w:val="202C38"/>
          <w:sz w:val="22"/>
        </w:rPr>
        <w:t>Dans cette logique, nous souhaiterions vous proposer un audit IA gratuit centré sur quelques priorités métier, complété par un rendez-vous de cadrage de 45 minutes avec vous ou avec la personne que vous désignerez. À l'issue de cet échange, nous pourrions vous remettre une première note de recommandations, sans engagement de votre part, avec une priorisation claire des pistes les plus réalistes pour ELTON CI.</w:t>
      </w:r>
    </w:p>
    <w:p>
      <w:pPr>
        <w:spacing w:after="120" w:line="259" w:lineRule="auto"/>
        <w:jc w:val="both"/>
      </w:pPr>
      <w:r>
        <w:rPr>
          <w:rFonts w:ascii="Aptos" w:hAnsi="Aptos"/>
          <w:b w:val="0"/>
          <w:color w:val="202C38"/>
          <w:sz w:val="22"/>
        </w:rPr>
        <w:t>Pour faciliter la lecture de notre démarche, ce courrier est accompagné, en pièces jointes, du deck de présentation ELTON CI ainsi que du catalogue de formation ciblé correspondant.</w:t>
      </w:r>
    </w:p>
    <w:p>
      <w:pPr>
        <w:spacing w:after="120" w:line="259" w:lineRule="auto"/>
        <w:jc w:val="both"/>
      </w:pPr>
      <w:r>
        <w:rPr>
          <w:rFonts w:ascii="Aptos" w:hAnsi="Aptos"/>
          <w:b w:val="0"/>
          <w:color w:val="202C38"/>
          <w:sz w:val="22"/>
        </w:rPr>
        <w:t>Nous serions honorés de pouvoir vous présenter cette démarche plus en détail et d'examiner avec vous les conditions d'un premier pilote utile, gouverné et mesurable.</w:t>
      </w:r>
    </w:p>
    <w:p>
      <w:pPr>
        <w:spacing w:after="200"/>
      </w:pPr>
      <w:r>
        <w:rPr>
          <w:rFonts w:ascii="Aptos" w:hAnsi="Aptos"/>
          <w:b w:val="0"/>
          <w:color w:val="202C38"/>
          <w:sz w:val="22"/>
        </w:rPr>
        <w:t>Je vous prie d'agréer, Monsieur le Directeur Général, l'expression de ma considération distinguée.</w:t>
      </w:r>
    </w:p>
    <w:p>
      <w:pPr>
        <w:spacing w:after="0"/>
      </w:pPr>
      <w:r>
        <w:rPr>
          <w:rFonts w:ascii="Aptos" w:hAnsi="Aptos"/>
          <w:b/>
          <w:color w:val="202C38"/>
          <w:sz w:val="22"/>
        </w:rPr>
        <w:t>L'équipe Hub TransferAI</w:t>
      </w:r>
    </w:p>
    <w:p>
      <w:pPr>
        <w:spacing w:after="0"/>
      </w:pPr>
      <w:r>
        <w:rPr>
          <w:rFonts w:ascii="Aptos" w:hAnsi="Aptos"/>
          <w:b w:val="0"/>
          <w:color w:val="202C38"/>
          <w:sz w:val="22"/>
        </w:rPr>
        <w:t>Hub IA de Nettelecom CI</w:t>
      </w:r>
    </w:p>
    <w:p>
      <w:pPr>
        <w:spacing w:after="0"/>
      </w:pPr>
      <w:r>
        <w:rPr>
          <w:rFonts w:ascii="Aptos" w:hAnsi="Aptos"/>
          <w:b w:val="0"/>
          <w:color w:val="202C38"/>
          <w:sz w:val="22"/>
        </w:rPr>
        <w:t>Site web : https://www.transferai.ci</w:t>
      </w:r>
    </w:p>
    <w:p>
      <w:pPr>
        <w:spacing w:after="0"/>
      </w:pPr>
      <w:r>
        <w:rPr>
          <w:rFonts w:ascii="Aptos" w:hAnsi="Aptos"/>
          <w:b w:val="0"/>
          <w:color w:val="202C38"/>
          <w:sz w:val="22"/>
        </w:rPr>
        <w:t>Assistant IA : +225 07 16 57 39 90</w:t>
      </w:r>
    </w:p>
    <w:p>
      <w:pPr>
        <w:spacing w:after="0"/>
      </w:pPr>
      <w:r>
        <w:rPr>
          <w:rFonts w:ascii="Aptos" w:hAnsi="Aptos"/>
          <w:b w:val="0"/>
          <w:color w:val="202C38"/>
          <w:sz w:val="22"/>
        </w:rPr>
        <w:t>contact@transferai.ci</w:t>
      </w:r>
    </w:p>
    <w:sectPr w:rsidR="00FC693F" w:rsidRPr="0006063C" w:rsidSect="00034616">
      <w:headerReference w:type="default" r:id="rId9"/>
      <w:footerReference w:type="default" r:id="rId10"/>
      <w:pgSz w:w="12240" w:h="15840"/>
      <w:pgMar w:top="1191" w:right="1247" w:bottom="1020" w:left="1247"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center"/>
    </w:pPr>
    <w:r>
      <w:rPr>
        <w:rFonts w:ascii="Aptos" w:hAnsi="Aptos"/>
        <w:b w:val="0"/>
        <w:color w:val="5A636D"/>
        <w:sz w:val="14"/>
      </w:rPr>
      <w:t>TransferAI | Hub IA de Nettelecom CI | contact@transferai.ci | www.transferai.ci | +225 07 16 57 39 90 | Riviera 3, carrefour Sainte Famille, Abidjan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0"/>
      <w:jc w:val="center"/>
    </w:pPr>
    <w:r>
      <w:drawing>
        <wp:inline xmlns:a="http://schemas.openxmlformats.org/drawingml/2006/main" xmlns:pic="http://schemas.openxmlformats.org/drawingml/2006/picture">
          <wp:extent cx="1944000" cy="920347"/>
          <wp:docPr id="1" name="Picture 1"/>
          <wp:cNvGraphicFramePr>
            <a:graphicFrameLocks noChangeAspect="1"/>
          </wp:cNvGraphicFramePr>
          <a:graphic>
            <a:graphicData uri="http://schemas.openxmlformats.org/drawingml/2006/picture">
              <pic:pic>
                <pic:nvPicPr>
                  <pic:cNvPr id="0" name="image (1).png"/>
                  <pic:cNvPicPr/>
                </pic:nvPicPr>
                <pic:blipFill>
                  <a:blip r:embed="rId1"/>
                  <a:stretch>
                    <a:fillRect/>
                  </a:stretch>
                </pic:blipFill>
                <pic:spPr>
                  <a:xfrm>
                    <a:off x="0" y="0"/>
                    <a:ext cx="1944000" cy="92034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