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before="0"/>
        <w:jc w:val="left"/>
      </w:pPr>
      <w:r>
        <w:t>Guide Utilisateur - Validation ou Rejet de l'Email Prospect</w:t>
      </w:r>
    </w:p>
    <w:p>
      <w:pPr>
        <w:pStyle w:val="Subtitle"/>
        <w:spacing w:after="120" w:before="0"/>
      </w:pPr>
      <w:r>
        <w:t>Workflow de prospection TransferAI - version operationnelle pour controle interne avant envoi au prospect.</w:t>
      </w:r>
    </w:p>
    <w:p>
      <w:pPr>
        <w:spacing w:after="120" w:before="0"/>
      </w:pPr>
      <w:r>
        <w:rPr>
          <w:b/>
        </w:rPr>
        <w:t xml:space="preserve">Objet : </w:t>
      </w:r>
      <w:r>
        <w:t>ce document explique comment verifier, approuver ou rejeter un email de prospection avant son envoi au prospect final depuis le workflow n8n de TransferAI.</w:t>
      </w:r>
    </w:p>
    <w:p>
      <w:pPr>
        <w:pStyle w:val="Heading1"/>
        <w:spacing w:after="120" w:before="0"/>
      </w:pPr>
      <w:r>
        <w:t>1. Finalite du mail de validation</w:t>
      </w:r>
    </w:p>
    <w:p>
      <w:pPr>
        <w:spacing w:after="120" w:before="0"/>
        <w:ind w:left="288" w:hanging="259"/>
      </w:pPr>
      <w:r>
        <w:rPr>
          <w:b/>
        </w:rPr>
        <w:t xml:space="preserve">• </w:t>
      </w:r>
      <w:r>
        <w:t>L'email interne de validation sert a controler le pack prospect avant tout envoi au prospect final.</w:t>
      </w:r>
    </w:p>
    <w:p>
      <w:pPr>
        <w:spacing w:after="120" w:before="0"/>
        <w:ind w:left="288" w:hanging="259"/>
      </w:pPr>
      <w:r>
        <w:rPr>
          <w:b/>
        </w:rPr>
        <w:t xml:space="preserve">• </w:t>
      </w:r>
      <w:r>
        <w:t>Ce pack contient generalement le courrier executive, le mini-catalogue cible, le brief de presentation et le formulaire d'audit pre-RDV.</w:t>
      </w:r>
    </w:p>
    <w:p>
      <w:pPr>
        <w:spacing w:after="120" w:before="0"/>
        <w:ind w:left="288" w:hanging="259"/>
      </w:pPr>
      <w:r>
        <w:rPr>
          <w:b/>
        </w:rPr>
        <w:t xml:space="preserve">• </w:t>
      </w:r>
      <w:r>
        <w:t>Le clic sur "Approuver et envoyer" declenche la relecture du pack stocke dans Supabase, puis l'envoi du courrier principal au prospect.</w:t>
      </w:r>
    </w:p>
    <w:p>
      <w:pPr>
        <w:pStyle w:val="Heading1"/>
        <w:spacing w:after="120" w:before="0"/>
      </w:pPr>
      <w:r>
        <w:t>2. Ce qu'il faut verifier avant de cliquer</w:t>
      </w:r>
    </w:p>
    <w:p>
      <w:pPr>
        <w:spacing w:after="120" w:before="0"/>
        <w:ind w:left="288" w:hanging="259"/>
      </w:pPr>
      <w:r>
        <w:rPr>
          <w:b/>
        </w:rPr>
        <w:t xml:space="preserve">• </w:t>
      </w:r>
      <w:r>
        <w:t>Organisation : verifier que le nom du prospect est correct.</w:t>
      </w:r>
    </w:p>
    <w:p>
      <w:pPr>
        <w:spacing w:after="120" w:before="0"/>
        <w:ind w:left="288" w:hanging="259"/>
      </w:pPr>
      <w:r>
        <w:rPr>
          <w:b/>
        </w:rPr>
        <w:t xml:space="preserve">• </w:t>
      </w:r>
      <w:r>
        <w:t>Email cible : verifier que le destinataire est bien le bon contact.</w:t>
      </w:r>
    </w:p>
    <w:p>
      <w:pPr>
        <w:spacing w:after="120" w:before="0"/>
        <w:ind w:left="288" w:hanging="259"/>
      </w:pPr>
      <w:r>
        <w:rPr>
          <w:b/>
        </w:rPr>
        <w:t xml:space="preserve">• </w:t>
      </w:r>
      <w:r>
        <w:t>Cas d'usage : verifier que l'angle commercial est coherent avec le prospect.</w:t>
      </w:r>
    </w:p>
    <w:p>
      <w:pPr>
        <w:spacing w:after="120" w:before="0"/>
        <w:ind w:left="288" w:hanging="259"/>
      </w:pPr>
      <w:r>
        <w:rPr>
          <w:b/>
        </w:rPr>
        <w:t xml:space="preserve">• </w:t>
      </w:r>
      <w:r>
        <w:t>Tier : verifier le niveau de priorite commerciale si cette information remonte dans le pack.</w:t>
      </w:r>
    </w:p>
    <w:p>
      <w:pPr>
        <w:spacing w:after="120" w:before="0"/>
        <w:ind w:left="288" w:hanging="259"/>
      </w:pPr>
      <w:r>
        <w:rPr>
          <w:b/>
        </w:rPr>
        <w:t xml:space="preserve">• </w:t>
      </w:r>
      <w:r>
        <w:t>CTA : verifier que l'appel a l'action est coherent avec l'offre et le rendez-vous expert.</w:t>
      </w:r>
    </w:p>
    <w:p>
      <w:pPr>
        <w:spacing w:after="120" w:before="0"/>
        <w:ind w:left="288" w:hanging="259"/>
      </w:pPr>
      <w:r>
        <w:rPr>
          <w:b/>
        </w:rPr>
        <w:t xml:space="preserve">• </w:t>
      </w:r>
      <w:r>
        <w:t>Pack ID : verifier que le pack est bien le plus recent.</w:t>
      </w:r>
    </w:p>
    <w:p>
      <w:pPr>
        <w:spacing w:after="120" w:before="0"/>
        <w:ind w:left="288" w:hanging="259"/>
      </w:pPr>
      <w:r>
        <w:rPr>
          <w:b/>
        </w:rPr>
        <w:t xml:space="preserve">• </w:t>
      </w:r>
      <w:r>
        <w:t>Sujet prevu : verifier que l'objet du courrier est acceptable avant envoi.</w:t>
      </w:r>
    </w:p>
    <w:p>
      <w:pPr>
        <w:pStyle w:val="Heading1"/>
        <w:spacing w:after="120" w:before="0"/>
      </w:pPr>
      <w:r>
        <w:t>3. Regle la plus importante</w:t>
      </w:r>
    </w:p>
    <w:p>
      <w:pPr>
        <w:spacing w:after="120" w:before="0"/>
        <w:ind w:left="288" w:hanging="259"/>
      </w:pPr>
      <w:r>
        <w:rPr>
          <w:b/>
        </w:rPr>
        <w:t xml:space="preserve">• </w:t>
      </w:r>
      <w:r>
        <w:t>Ne jamais approuver un ancien email interne de validation.</w:t>
      </w:r>
    </w:p>
    <w:p>
      <w:pPr>
        <w:spacing w:after="120" w:before="0"/>
        <w:ind w:left="288" w:hanging="259"/>
      </w:pPr>
      <w:r>
        <w:rPr>
          <w:b/>
        </w:rPr>
        <w:t xml:space="preserve">• </w:t>
      </w:r>
      <w:r>
        <w:t>Chaque execution genere un nouveau pack_id. Si un ancien email est approuve, le workflow peut renvoyer un ancien courrier meme si le prompt a ete corrige entre-temps.</w:t>
      </w:r>
    </w:p>
    <w:p>
      <w:pPr>
        <w:spacing w:after="120" w:before="0"/>
        <w:ind w:left="288" w:hanging="259"/>
      </w:pPr>
      <w:r>
        <w:rPr>
          <w:b/>
        </w:rPr>
        <w:t xml:space="preserve">• </w:t>
      </w:r>
      <w:r>
        <w:t>Toujours valider uniquement le dernier email interne recu apres un nouveau run complet.</w:t>
      </w:r>
    </w:p>
    <w:p>
      <w:pPr>
        <w:pStyle w:val="Heading1"/>
        <w:spacing w:after="120" w:before="0"/>
      </w:pPr>
      <w:r>
        <w:t>4. Procedure de validation</w:t>
      </w:r>
    </w:p>
    <w:p>
      <w:pPr>
        <w:spacing w:after="120" w:before="0"/>
        <w:ind w:left="288" w:hanging="259"/>
      </w:pPr>
      <w:r>
        <w:rPr>
          <w:b/>
        </w:rPr>
        <w:t xml:space="preserve">• </w:t>
      </w:r>
      <w:r>
        <w:t>Ouvrir l'email interne recu depuis onboarding@resend.dev.</w:t>
      </w:r>
    </w:p>
    <w:p>
      <w:pPr>
        <w:spacing w:after="120" w:before="0"/>
        <w:ind w:left="288" w:hanging="259"/>
      </w:pPr>
      <w:r>
        <w:rPr>
          <w:b/>
        </w:rPr>
        <w:t xml:space="preserve">• </w:t>
      </w:r>
      <w:r>
        <w:t>Relire le resume du pack et verifier les informations critiques.</w:t>
      </w:r>
    </w:p>
    <w:p>
      <w:pPr>
        <w:spacing w:after="120" w:before="0"/>
        <w:ind w:left="288" w:hanging="259"/>
      </w:pPr>
      <w:r>
        <w:rPr>
          <w:b/>
        </w:rPr>
        <w:t xml:space="preserve">• </w:t>
      </w:r>
      <w:r>
        <w:t>Confirmer que le lien de rendez-vous est le bon : https://calendly.com/contact-transferai/30min.</w:t>
      </w:r>
    </w:p>
    <w:p>
      <w:pPr>
        <w:spacing w:after="120" w:before="0"/>
        <w:ind w:left="288" w:hanging="259"/>
      </w:pPr>
      <w:r>
        <w:rPr>
          <w:b/>
        </w:rPr>
        <w:t xml:space="preserve">• </w:t>
      </w:r>
      <w:r>
        <w:t>Cliquer sur "Approuver et envoyer" seulement si le contenu est correct.</w:t>
      </w:r>
    </w:p>
    <w:p>
      <w:pPr>
        <w:spacing w:after="120" w:before="0"/>
        <w:ind w:left="288" w:hanging="259"/>
      </w:pPr>
      <w:r>
        <w:rPr>
          <w:b/>
        </w:rPr>
        <w:t xml:space="preserve">• </w:t>
      </w:r>
      <w:r>
        <w:t>Verifier ensuite que le mail prospect final recu correspond bien au nouveau modele attendu.</w:t>
      </w:r>
    </w:p>
    <w:p>
      <w:pPr>
        <w:pStyle w:val="Heading1"/>
        <w:spacing w:after="120" w:before="0"/>
      </w:pPr>
      <w:r>
        <w:t>5. Procedure de rejet</w:t>
      </w:r>
    </w:p>
    <w:p>
      <w:pPr>
        <w:spacing w:after="120" w:before="0"/>
        <w:ind w:left="288" w:hanging="259"/>
      </w:pPr>
      <w:r>
        <w:rPr>
          <w:b/>
        </w:rPr>
        <w:t xml:space="preserve">• </w:t>
      </w:r>
      <w:r>
        <w:t>Cliquer sur "Rejeter" si le mauvais prospect est cible, si l'email cible est faux, si le courrier ne correspond pas au bon modele, si le cas d'usage est incoherent ou si le pack semble ancien.</w:t>
      </w:r>
    </w:p>
    <w:p>
      <w:pPr>
        <w:spacing w:after="120" w:before="0"/>
        <w:ind w:left="288" w:hanging="259"/>
      </w:pPr>
      <w:r>
        <w:rPr>
          <w:b/>
        </w:rPr>
        <w:t xml:space="preserve">• </w:t>
      </w:r>
      <w:r>
        <w:t>Le rejet bloque l'envoi au prospect et permet de relancer un nouveau pack propre.</w:t>
      </w:r>
    </w:p>
    <w:p>
      <w:pPr>
        <w:pStyle w:val="Heading1"/>
        <w:spacing w:after="120" w:before="0"/>
      </w:pPr>
      <w:r>
        <w:t>6. Bonnes pratiques operatoires</w:t>
      </w:r>
    </w:p>
    <w:p>
      <w:pPr>
        <w:spacing w:after="120" w:before="0"/>
        <w:ind w:left="288" w:hanging="259"/>
      </w:pPr>
      <w:r>
        <w:rPr>
          <w:b/>
        </w:rPr>
        <w:t xml:space="preserve">• </w:t>
      </w:r>
      <w:r>
        <w:t>Toujours partir d'un nouveau run complet pour les tests.</w:t>
      </w:r>
    </w:p>
    <w:p>
      <w:pPr>
        <w:spacing w:after="120" w:before="0"/>
        <w:ind w:left="288" w:hanging="259"/>
      </w:pPr>
      <w:r>
        <w:rPr>
          <w:b/>
        </w:rPr>
        <w:t xml:space="preserve">• </w:t>
      </w:r>
      <w:r>
        <w:t>Eviter d'utiliser d'anciens liens d'approbation.</w:t>
      </w:r>
    </w:p>
    <w:p>
      <w:pPr>
        <w:spacing w:after="120" w:before="0"/>
        <w:ind w:left="288" w:hanging="259"/>
      </w:pPr>
      <w:r>
        <w:rPr>
          <w:b/>
        </w:rPr>
        <w:t xml:space="preserve">• </w:t>
      </w:r>
      <w:r>
        <w:t>Verifier que le noeud Generate Executive Letter contient bien la version harmonisee du prompt.</w:t>
      </w:r>
    </w:p>
    <w:p>
      <w:pPr>
        <w:spacing w:after="120" w:before="0"/>
        <w:ind w:left="288" w:hanging="259"/>
      </w:pPr>
      <w:r>
        <w:rPr>
          <w:b/>
        </w:rPr>
        <w:t xml:space="preserve">• </w:t>
      </w:r>
      <w:r>
        <w:t>Verifier que le pack stocke dans Supabase correspond au dernier test avant validation.</w:t>
      </w:r>
    </w:p>
    <w:p>
      <w:pPr>
        <w:spacing w:after="120" w:before="0"/>
        <w:ind w:left="288" w:hanging="259"/>
      </w:pPr>
      <w:r>
        <w:rPr>
          <w:b/>
        </w:rPr>
        <w:t xml:space="preserve">• </w:t>
      </w:r>
      <w:r>
        <w:t>Conserver un seul workflow de reference pendant une campagne de test.</w:t>
      </w:r>
    </w:p>
    <w:p>
      <w:pPr>
        <w:pStyle w:val="Heading1"/>
        <w:spacing w:after="120" w:before="0"/>
      </w:pPr>
      <w:r>
        <w:t>7. Workflow de reference</w:t>
      </w:r>
    </w:p>
    <w:p>
      <w:pPr>
        <w:spacing w:after="120" w:before="0"/>
        <w:ind w:left="288" w:hanging="259"/>
      </w:pPr>
      <w:r>
        <w:rPr>
          <w:b/>
        </w:rPr>
        <w:t xml:space="preserve">• </w:t>
      </w:r>
      <w:r>
        <w:t>Workflow recommande : 62_n8n_Prospection_Multi_Prospect_V3_CRM_Compat_Import.json.</w:t>
      </w:r>
    </w:p>
    <w:p>
      <w:pPr>
        <w:spacing w:after="120" w:before="0"/>
        <w:ind w:left="288" w:hanging="259"/>
      </w:pPr>
      <w:r>
        <w:rPr>
          <w:b/>
        </w:rPr>
        <w:t xml:space="preserve">• </w:t>
      </w:r>
      <w:r>
        <w:t>Le courrier prospect final part de Generate Executive Letter, est assemble dans le pack, stocke dans Supabase, puis relu au moment de l'approbation.</w:t>
      </w:r>
    </w:p>
    <w:p>
      <w:pPr>
        <w:pStyle w:val="Heading1"/>
        <w:spacing w:after="120" w:before="0"/>
      </w:pPr>
      <w:r>
        <w:t>8. Causes frequentes d'un mauvais courrier envoye</w:t>
      </w:r>
    </w:p>
    <w:p>
      <w:pPr>
        <w:spacing w:after="120" w:before="0"/>
        <w:ind w:left="288" w:hanging="259"/>
      </w:pPr>
      <w:r>
        <w:rPr>
          <w:b/>
        </w:rPr>
        <w:t xml:space="preserve">• </w:t>
      </w:r>
      <w:r>
        <w:t>Approbation d'un ancien pack_id deja stocke en base.</w:t>
      </w:r>
    </w:p>
    <w:p>
      <w:pPr>
        <w:spacing w:after="120" w:before="0"/>
        <w:ind w:left="288" w:hanging="259"/>
      </w:pPr>
      <w:r>
        <w:rPr>
          <w:b/>
        </w:rPr>
        <w:t xml:space="preserve">• </w:t>
      </w:r>
      <w:r>
        <w:t>Utilisation d'un ancien workflow encore ouvert dans n8n.</w:t>
      </w:r>
    </w:p>
    <w:p>
      <w:pPr>
        <w:spacing w:after="120" w:before="0"/>
        <w:ind w:left="288" w:hanging="259"/>
      </w:pPr>
      <w:r>
        <w:rPr>
          <w:b/>
        </w:rPr>
        <w:t xml:space="preserve">• </w:t>
      </w:r>
      <w:r>
        <w:t>Prompt non mis a jour dans Generate Executive Letter.</w:t>
      </w:r>
    </w:p>
    <w:p>
      <w:pPr>
        <w:spacing w:after="120" w:before="0"/>
        <w:ind w:left="288" w:hanging="259"/>
      </w:pPr>
      <w:r>
        <w:rPr>
          <w:b/>
        </w:rPr>
        <w:t xml:space="preserve">• </w:t>
      </w:r>
      <w:r>
        <w:t>Run execute avant la derniere mise a jour des noeuds metier.</w:t>
      </w:r>
    </w:p>
    <w:p>
      <w:pPr>
        <w:pStyle w:val="Heading1"/>
        <w:spacing w:after="120" w:before="0"/>
      </w:pPr>
      <w:r>
        <w:t>9. Resume ultra-court</w:t>
      </w:r>
    </w:p>
    <w:p>
      <w:pPr>
        <w:spacing w:after="120" w:before="0"/>
        <w:ind w:left="288" w:hanging="259"/>
      </w:pPr>
      <w:r>
        <w:rPr>
          <w:b/>
        </w:rPr>
        <w:t xml:space="preserve">• </w:t>
      </w:r>
      <w:r>
        <w:t>Verifier le dernier email interne.</w:t>
      </w:r>
    </w:p>
    <w:p>
      <w:pPr>
        <w:spacing w:after="120" w:before="0"/>
        <w:ind w:left="288" w:hanging="259"/>
      </w:pPr>
      <w:r>
        <w:rPr>
          <w:b/>
        </w:rPr>
        <w:t xml:space="preserve">• </w:t>
      </w:r>
      <w:r>
        <w:t>Controler le contenu du pack.</w:t>
      </w:r>
    </w:p>
    <w:p>
      <w:pPr>
        <w:spacing w:after="120" w:before="0"/>
        <w:ind w:left="288" w:hanging="259"/>
      </w:pPr>
      <w:r>
        <w:rPr>
          <w:b/>
        </w:rPr>
        <w:t xml:space="preserve">• </w:t>
      </w:r>
      <w:r>
        <w:t>Approuver seulement le plus recent.</w:t>
      </w:r>
    </w:p>
    <w:p>
      <w:pPr>
        <w:spacing w:after="120" w:before="0"/>
        <w:ind w:left="288" w:hanging="259"/>
      </w:pPr>
      <w:r>
        <w:rPr>
          <w:b/>
        </w:rPr>
        <w:t xml:space="preserve">• </w:t>
      </w:r>
      <w:r>
        <w:t>Rejeter tout email ancien, douteux ou incoherent.</w:t>
      </w:r>
    </w:p>
    <w:p>
      <w:pPr>
        <w:pStyle w:val="Heading1"/>
        <w:spacing w:after="120" w:before="0"/>
      </w:pPr>
      <w:r>
        <w:t>Checklist rapide avant approbation</w:t>
      </w:r>
    </w:p>
    <w:tbl>
      <w:tblPr>
        <w:tblStyle w:val="TableGrid"/>
        <w:tblW w:type="auto" w:w="0"/>
        <w:tblLayout w:type="fixed"/>
        <w:tblLook w:firstColumn="1" w:firstRow="1" w:lastColumn="0" w:lastRow="0" w:noHBand="0" w:noVBand="1" w:val="04A0"/>
      </w:tblPr>
      <w:tblGrid>
        <w:gridCol w:w="6912"/>
        <w:gridCol w:w="2016"/>
      </w:tblGrid>
      <w:tr>
        <w:tc>
          <w:tcPr>
            <w:tcW w:type="dxa" w:w="4680"/>
          </w:tcPr>
          <w:p>
            <w:r>
              <w:rPr>
                <w:rFonts w:ascii="Arial" w:hAnsi="Arial"/>
                <w:b/>
                <w:sz w:val="20"/>
              </w:rPr>
              <w:t>Point de controle</w:t>
            </w:r>
          </w:p>
        </w:tc>
        <w:tc>
          <w:tcPr>
            <w:tcW w:type="dxa" w:w="4680"/>
          </w:tcPr>
          <w:p>
            <w:r>
              <w:rPr>
                <w:rFonts w:ascii="Arial" w:hAnsi="Arial"/>
                <w:b/>
                <w:sz w:val="20"/>
              </w:rPr>
              <w:t>OK ?</w:t>
            </w:r>
          </w:p>
        </w:tc>
      </w:tr>
      <w:tr>
        <w:tc>
          <w:tcPr>
            <w:tcW w:type="dxa" w:w="6912"/>
          </w:tcPr>
          <w:p>
            <w:r>
              <w:rPr>
                <w:rFonts w:ascii="Arial" w:hAnsi="Arial"/>
                <w:sz w:val="20"/>
              </w:rPr>
              <w:t>Le prospect et l'email cible sont corrects</w:t>
            </w:r>
          </w:p>
        </w:tc>
        <w:tc>
          <w:tcPr>
            <w:tcW w:type="dxa" w:w="2016"/>
          </w:tcPr>
          <w:p>
            <w:r>
              <w:rPr>
                <w:rFonts w:ascii="Arial" w:hAnsi="Arial"/>
                <w:sz w:val="20"/>
              </w:rPr>
              <w:t>Oui / Non</w:t>
            </w:r>
          </w:p>
        </w:tc>
      </w:tr>
      <w:tr>
        <w:tc>
          <w:tcPr>
            <w:tcW w:type="dxa" w:w="6912"/>
          </w:tcPr>
          <w:p>
            <w:r>
              <w:rPr>
                <w:rFonts w:ascii="Arial" w:hAnsi="Arial"/>
                <w:sz w:val="20"/>
              </w:rPr>
              <w:t>Le cas d'usage est coherent</w:t>
            </w:r>
          </w:p>
        </w:tc>
        <w:tc>
          <w:tcPr>
            <w:tcW w:type="dxa" w:w="2016"/>
          </w:tcPr>
          <w:p>
            <w:r>
              <w:rPr>
                <w:rFonts w:ascii="Arial" w:hAnsi="Arial"/>
                <w:sz w:val="20"/>
              </w:rPr>
              <w:t>Oui / Non</w:t>
            </w:r>
          </w:p>
        </w:tc>
      </w:tr>
      <w:tr>
        <w:tc>
          <w:tcPr>
            <w:tcW w:type="dxa" w:w="6912"/>
          </w:tcPr>
          <w:p>
            <w:r>
              <w:rPr>
                <w:rFonts w:ascii="Arial" w:hAnsi="Arial"/>
                <w:sz w:val="20"/>
              </w:rPr>
              <w:t>Le lien Calendly est le bon</w:t>
            </w:r>
          </w:p>
        </w:tc>
        <w:tc>
          <w:tcPr>
            <w:tcW w:type="dxa" w:w="2016"/>
          </w:tcPr>
          <w:p>
            <w:r>
              <w:rPr>
                <w:rFonts w:ascii="Arial" w:hAnsi="Arial"/>
                <w:sz w:val="20"/>
              </w:rPr>
              <w:t>Oui / Non</w:t>
            </w:r>
          </w:p>
        </w:tc>
      </w:tr>
      <w:tr>
        <w:tc>
          <w:tcPr>
            <w:tcW w:type="dxa" w:w="6912"/>
          </w:tcPr>
          <w:p>
            <w:r>
              <w:rPr>
                <w:rFonts w:ascii="Arial" w:hAnsi="Arial"/>
                <w:sz w:val="20"/>
              </w:rPr>
              <w:t>Le pack approuve est le plus recent</w:t>
            </w:r>
          </w:p>
        </w:tc>
        <w:tc>
          <w:tcPr>
            <w:tcW w:type="dxa" w:w="2016"/>
          </w:tcPr>
          <w:p>
            <w:r>
              <w:rPr>
                <w:rFonts w:ascii="Arial" w:hAnsi="Arial"/>
                <w:sz w:val="20"/>
              </w:rPr>
              <w:t>Oui / Non</w:t>
            </w:r>
          </w:p>
        </w:tc>
      </w:tr>
      <w:tr>
        <w:tc>
          <w:tcPr>
            <w:tcW w:type="dxa" w:w="6912"/>
          </w:tcPr>
          <w:p>
            <w:r>
              <w:rPr>
                <w:rFonts w:ascii="Arial" w:hAnsi="Arial"/>
                <w:sz w:val="20"/>
              </w:rPr>
              <w:t>Le contenu du courrier est conforme</w:t>
            </w:r>
          </w:p>
        </w:tc>
        <w:tc>
          <w:tcPr>
            <w:tcW w:type="dxa" w:w="2016"/>
          </w:tcPr>
          <w:p>
            <w:r>
              <w:rPr>
                <w:rFonts w:ascii="Arial" w:hAnsi="Arial"/>
                <w:sz w:val="20"/>
              </w:rPr>
              <w:t>Oui / Non</w:t>
            </w:r>
          </w:p>
        </w:tc>
      </w:tr>
    </w:tbl>
    <w:sectPr w:rsidR="00FC693F" w:rsidRPr="0006063C" w:rsidSect="00034616">
      <w:footerReference w:type="default" r:id="rId9"/>
      <w:pgSz w:w="12240" w:h="15840"/>
      <w:pgMar w:top="1440"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TransferAI | Guide utilisateur validation / rejet email prospect | 31 mai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2E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2E5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