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Checklist de suivi opérationnel</w:t>
      </w:r>
    </w:p>
    <w:p>
      <w:r>
        <w:rPr>
          <w:b/>
        </w:rPr>
        <w:t xml:space="preserve">Programme : </w:t>
      </w:r>
      <w:r>
        <w:t>Prospection TransferAI V3 - Phase 1 deck premium, catalogue dynamique et envoi prospect</w:t>
      </w:r>
    </w:p>
    <w:p>
      <w:r>
        <w:rPr>
          <w:b/>
        </w:rPr>
        <w:t xml:space="preserve">Date : </w:t>
      </w:r>
      <w:r>
        <w:t>2 juin 2026</w:t>
      </w:r>
    </w:p>
    <w:p>
      <w:r>
        <w:rPr>
          <w:b/>
        </w:rPr>
        <w:t xml:space="preserve">Objet : </w:t>
      </w:r>
      <w:r>
        <w:t>fournir un tableau de suivi opérationnel simple à partager pour piloter la clôture de la phase 1</w:t>
      </w:r>
    </w:p>
    <w:p>
      <w:r>
        <w:rPr>
          <w:b/>
        </w:rPr>
        <w:t xml:space="preserve">Périmètre : </w:t>
      </w:r>
      <w:r>
        <w:t>workflow V3, renderers Supabase, qualité du deck premium, mini-catalogue, validation interne et envoi prospect</w:t>
      </w:r>
    </w:p>
    <w:p>
      <w:r>
        <w:rPr>
          <w:i/>
        </w:rPr>
        <w:t>Lecture rapide : la phase 1 est fonctionnelle de bout en bout sur le plan technique. Le reste porte principalement sur la validation multi-cas, le durcissement de production et la qualité finale du rendu premium.</w:t>
      </w:r>
    </w:p>
    <w:p>
      <w:pPr>
        <w:pStyle w:val="Heading1"/>
      </w:pPr>
      <w:r>
        <w:t>1. Tableau de suivi opérationnel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</w:trPr>
        <w:tc>
          <w:tcPr>
            <w:tcW w:type="dxa" w:w="1440"/>
            <w:shd w:fill="EAF1F8"/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Lot</w:t>
            </w:r>
          </w:p>
        </w:tc>
        <w:tc>
          <w:tcPr>
            <w:tcW w:type="dxa" w:w="3312"/>
            <w:shd w:fill="EAF1F8"/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Élément</w:t>
            </w:r>
          </w:p>
        </w:tc>
        <w:tc>
          <w:tcPr>
            <w:tcW w:type="dxa" w:w="1440"/>
            <w:shd w:fill="EAF1F8"/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Statut</w:t>
            </w:r>
          </w:p>
        </w:tc>
        <w:tc>
          <w:tcPr>
            <w:tcW w:type="dxa" w:w="1944"/>
            <w:shd w:fill="EAF1F8"/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Responsable</w:t>
            </w:r>
          </w:p>
        </w:tc>
        <w:tc>
          <w:tcPr>
            <w:tcW w:type="dxa" w:w="1296"/>
            <w:shd w:fill="EAF1F8"/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Priorité</w:t>
            </w:r>
          </w:p>
        </w:tc>
        <w:tc>
          <w:tcPr>
            <w:tcW w:type="dxa" w:w="3384"/>
            <w:shd w:fill="EAF1F8"/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Prochaine action</w:t>
            </w:r>
          </w:p>
        </w:tc>
      </w:tr>
      <w:tr>
        <w:trPr>
          <w:cantSplit/>
        </w:trPr>
        <w:tc>
          <w:tcPr>
            <w:tcW w:type="dxa" w:w="1440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Workflow V3</w:t>
            </w:r>
          </w:p>
        </w:tc>
        <w:tc>
          <w:tcPr>
            <w:tcW w:type="dxa" w:w="3312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Génération du catalogue dynamique par pack</w:t>
            </w:r>
          </w:p>
        </w:tc>
        <w:tc>
          <w:tcPr>
            <w:tcW w:type="dxa" w:w="1440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Done</w:t>
            </w:r>
          </w:p>
        </w:tc>
        <w:tc>
          <w:tcPr>
            <w:tcW w:type="dxa" w:w="1944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Technique</w:t>
            </w:r>
          </w:p>
        </w:tc>
        <w:tc>
          <w:tcPr>
            <w:tcW w:type="dxa" w:w="1296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Haute</w:t>
            </w:r>
          </w:p>
        </w:tc>
        <w:tc>
          <w:tcPr>
            <w:tcW w:type="dxa" w:w="3384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Conserver le flux actuel et vérifier ponctuellement les rendus PDF/DOCX sur de nouveaux packs.</w:t>
            </w:r>
          </w:p>
        </w:tc>
      </w:tr>
      <w:tr>
        <w:trPr>
          <w:cantSplit/>
        </w:trPr>
        <w:tc>
          <w:tcPr>
            <w:tcW w:type="dxa" w:w="1440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Workflow V3</w:t>
            </w:r>
          </w:p>
        </w:tc>
        <w:tc>
          <w:tcPr>
            <w:tcW w:type="dxa" w:w="3312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Génération du deck PPTX par pack</w:t>
            </w:r>
          </w:p>
        </w:tc>
        <w:tc>
          <w:tcPr>
            <w:tcW w:type="dxa" w:w="1440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Done</w:t>
            </w:r>
          </w:p>
        </w:tc>
        <w:tc>
          <w:tcPr>
            <w:tcW w:type="dxa" w:w="1944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Technique</w:t>
            </w:r>
          </w:p>
        </w:tc>
        <w:tc>
          <w:tcPr>
            <w:tcW w:type="dxa" w:w="1296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Haute</w:t>
            </w:r>
          </w:p>
        </w:tc>
        <w:tc>
          <w:tcPr>
            <w:tcW w:type="dxa" w:w="3384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Continuer les tests de génération sur des prospects variés pour confirmer la stabilité.</w:t>
            </w:r>
          </w:p>
        </w:tc>
      </w:tr>
      <w:tr>
        <w:trPr>
          <w:cantSplit/>
        </w:trPr>
        <w:tc>
          <w:tcPr>
            <w:tcW w:type="dxa" w:w="1440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Workflow V3</w:t>
            </w:r>
          </w:p>
        </w:tc>
        <w:tc>
          <w:tcPr>
            <w:tcW w:type="dxa" w:w="3312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Fusion des pièces jointes finales</w:t>
            </w:r>
          </w:p>
        </w:tc>
        <w:tc>
          <w:tcPr>
            <w:tcW w:type="dxa" w:w="1440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Done</w:t>
            </w:r>
          </w:p>
        </w:tc>
        <w:tc>
          <w:tcPr>
            <w:tcW w:type="dxa" w:w="1944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Technique</w:t>
            </w:r>
          </w:p>
        </w:tc>
        <w:tc>
          <w:tcPr>
            <w:tcW w:type="dxa" w:w="1296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Haute</w:t>
            </w:r>
          </w:p>
        </w:tc>
        <w:tc>
          <w:tcPr>
            <w:tcW w:type="dxa" w:w="3384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Contrôler régulièrement attachments_count = 2 dans les exécutions critiques.</w:t>
            </w:r>
          </w:p>
        </w:tc>
      </w:tr>
      <w:tr>
        <w:trPr>
          <w:cantSplit/>
        </w:trPr>
        <w:tc>
          <w:tcPr>
            <w:tcW w:type="dxa" w:w="1440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Workflow V3</w:t>
            </w:r>
          </w:p>
        </w:tc>
        <w:tc>
          <w:tcPr>
            <w:tcW w:type="dxa" w:w="3312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Validation interne puis envoi prospect</w:t>
            </w:r>
          </w:p>
        </w:tc>
        <w:tc>
          <w:tcPr>
            <w:tcW w:type="dxa" w:w="1440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Done</w:t>
            </w:r>
          </w:p>
        </w:tc>
        <w:tc>
          <w:tcPr>
            <w:tcW w:type="dxa" w:w="1944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Technique</w:t>
            </w:r>
          </w:p>
        </w:tc>
        <w:tc>
          <w:tcPr>
            <w:tcW w:type="dxa" w:w="1296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Haute</w:t>
            </w:r>
          </w:p>
        </w:tc>
        <w:tc>
          <w:tcPr>
            <w:tcW w:type="dxa" w:w="3384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Maintenir le protocole d’approbation sur le dernier email reçu uniquement.</w:t>
            </w:r>
          </w:p>
        </w:tc>
      </w:tr>
      <w:tr>
        <w:trPr>
          <w:cantSplit/>
        </w:trPr>
        <w:tc>
          <w:tcPr>
            <w:tcW w:type="dxa" w:w="1440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Renderers</w:t>
            </w:r>
          </w:p>
        </w:tc>
        <w:tc>
          <w:tcPr>
            <w:tcW w:type="dxa" w:w="3312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Déploiement de catalogue-renderer et deck-renderer</w:t>
            </w:r>
          </w:p>
        </w:tc>
        <w:tc>
          <w:tcPr>
            <w:tcW w:type="dxa" w:w="1440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Done</w:t>
            </w:r>
          </w:p>
        </w:tc>
        <w:tc>
          <w:tcPr>
            <w:tcW w:type="dxa" w:w="1944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Technique</w:t>
            </w:r>
          </w:p>
        </w:tc>
        <w:tc>
          <w:tcPr>
            <w:tcW w:type="dxa" w:w="1296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Haute</w:t>
            </w:r>
          </w:p>
        </w:tc>
        <w:tc>
          <w:tcPr>
            <w:tcW w:type="dxa" w:w="3384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Conserver les versions déployées et documenter toute évolution avant redéploiement.</w:t>
            </w:r>
          </w:p>
        </w:tc>
      </w:tr>
      <w:tr>
        <w:trPr>
          <w:cantSplit/>
        </w:trPr>
        <w:tc>
          <w:tcPr>
            <w:tcW w:type="dxa" w:w="1440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Guides</w:t>
            </w:r>
          </w:p>
        </w:tc>
        <w:tc>
          <w:tcPr>
            <w:tcW w:type="dxa" w:w="3312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Mise à jour des guides utilisateur et troubleshooting</w:t>
            </w:r>
          </w:p>
        </w:tc>
        <w:tc>
          <w:tcPr>
            <w:tcW w:type="dxa" w:w="1440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Done</w:t>
            </w:r>
          </w:p>
        </w:tc>
        <w:tc>
          <w:tcPr>
            <w:tcW w:type="dxa" w:w="1944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Documentation</w:t>
            </w:r>
          </w:p>
        </w:tc>
        <w:tc>
          <w:tcPr>
            <w:tcW w:type="dxa" w:w="1296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Moyenne</w:t>
            </w:r>
          </w:p>
        </w:tc>
        <w:tc>
          <w:tcPr>
            <w:tcW w:type="dxa" w:w="3384"/>
            <w:shd w:fill="ECFDF5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Partager les nouvelles versions MD et Word avec l’équipe opérationnelle.</w:t>
            </w:r>
          </w:p>
        </w:tc>
      </w:tr>
      <w:tr>
        <w:trPr>
          <w:cantSplit/>
        </w:trPr>
        <w:tc>
          <w:tcPr>
            <w:tcW w:type="dxa" w:w="1440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QA Deck</w:t>
            </w:r>
          </w:p>
        </w:tc>
        <w:tc>
          <w:tcPr>
            <w:tcW w:type="dxa" w:w="3312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Validation visuelle du deck premium sur plusieurs prospects réels</w:t>
            </w:r>
          </w:p>
        </w:tc>
        <w:tc>
          <w:tcPr>
            <w:tcW w:type="dxa" w:w="1440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Remaining</w:t>
            </w:r>
          </w:p>
        </w:tc>
        <w:tc>
          <w:tcPr>
            <w:tcW w:type="dxa" w:w="1944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Commercial + Technique</w:t>
            </w:r>
          </w:p>
        </w:tc>
        <w:tc>
          <w:tcPr>
            <w:tcW w:type="dxa" w:w="1296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Haute</w:t>
            </w:r>
          </w:p>
        </w:tc>
        <w:tc>
          <w:tcPr>
            <w:tcW w:type="dxa" w:w="3384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Régénérer au moins 3 à 5 decks multi-secteurs et faire une revue slide par slide.</w:t>
            </w:r>
          </w:p>
        </w:tc>
      </w:tr>
      <w:tr>
        <w:trPr>
          <w:cantSplit/>
        </w:trPr>
        <w:tc>
          <w:tcPr>
            <w:tcW w:type="dxa" w:w="1440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QA Catalogue</w:t>
            </w:r>
          </w:p>
        </w:tc>
        <w:tc>
          <w:tcPr>
            <w:tcW w:type="dxa" w:w="3312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Validation visuelle du mini-catalogue sur plusieurs secteurs</w:t>
            </w:r>
          </w:p>
        </w:tc>
        <w:tc>
          <w:tcPr>
            <w:tcW w:type="dxa" w:w="1440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Remaining</w:t>
            </w:r>
          </w:p>
        </w:tc>
        <w:tc>
          <w:tcPr>
            <w:tcW w:type="dxa" w:w="1944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Commercial + Technique</w:t>
            </w:r>
          </w:p>
        </w:tc>
        <w:tc>
          <w:tcPr>
            <w:tcW w:type="dxa" w:w="1296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Haute</w:t>
            </w:r>
          </w:p>
        </w:tc>
        <w:tc>
          <w:tcPr>
            <w:tcW w:type="dxa" w:w="3384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Comparer les sorties Orange et hors Orange pour confirmer le niveau premium et la bonne personnalisation.</w:t>
            </w:r>
          </w:p>
        </w:tc>
      </w:tr>
      <w:tr>
        <w:trPr>
          <w:cantSplit/>
        </w:trPr>
        <w:tc>
          <w:tcPr>
            <w:tcW w:type="dxa" w:w="1440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Localisation</w:t>
            </w:r>
          </w:p>
        </w:tc>
        <w:tc>
          <w:tcPr>
            <w:tcW w:type="dxa" w:w="3312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Tests complets FR / EN / ES</w:t>
            </w:r>
          </w:p>
        </w:tc>
        <w:tc>
          <w:tcPr>
            <w:tcW w:type="dxa" w:w="1440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Remaining</w:t>
            </w:r>
          </w:p>
        </w:tc>
        <w:tc>
          <w:tcPr>
            <w:tcW w:type="dxa" w:w="1944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Technique</w:t>
            </w:r>
          </w:p>
        </w:tc>
        <w:tc>
          <w:tcPr>
            <w:tcW w:type="dxa" w:w="1296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Haute</w:t>
            </w:r>
          </w:p>
        </w:tc>
        <w:tc>
          <w:tcPr>
            <w:tcW w:type="dxa" w:w="3384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Exécuter un cas francophone, un anglophone et un hispanophone avec contrôle des accents et de la cohérence métier.</w:t>
            </w:r>
          </w:p>
        </w:tc>
      </w:tr>
      <w:tr>
        <w:trPr>
          <w:cantSplit/>
        </w:trPr>
        <w:tc>
          <w:tcPr>
            <w:tcW w:type="dxa" w:w="1440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Fallbacks métier</w:t>
            </w:r>
          </w:p>
        </w:tc>
        <w:tc>
          <w:tcPr>
            <w:tcW w:type="dxa" w:w="3312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Validation des cas incomplets ou faiblement documentés</w:t>
            </w:r>
          </w:p>
        </w:tc>
        <w:tc>
          <w:tcPr>
            <w:tcW w:type="dxa" w:w="1440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Remaining</w:t>
            </w:r>
          </w:p>
        </w:tc>
        <w:tc>
          <w:tcPr>
            <w:tcW w:type="dxa" w:w="1944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Technique + Ops</w:t>
            </w:r>
          </w:p>
        </w:tc>
        <w:tc>
          <w:tcPr>
            <w:tcW w:type="dxa" w:w="1296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Moyenne</w:t>
            </w:r>
          </w:p>
        </w:tc>
        <w:tc>
          <w:tcPr>
            <w:tcW w:type="dxa" w:w="3384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Tester des prospects sans décideur identifié, avec peu de signaux ou avec secteur incertain.</w:t>
            </w:r>
          </w:p>
        </w:tc>
      </w:tr>
      <w:tr>
        <w:trPr>
          <w:cantSplit/>
        </w:trPr>
        <w:tc>
          <w:tcPr>
            <w:tcW w:type="dxa" w:w="1440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Production Email</w:t>
            </w:r>
          </w:p>
        </w:tc>
        <w:tc>
          <w:tcPr>
            <w:tcW w:type="dxa" w:w="3312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Passage du sender de test au domaine de production</w:t>
            </w:r>
          </w:p>
        </w:tc>
        <w:tc>
          <w:tcPr>
            <w:tcW w:type="dxa" w:w="1440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Remaining</w:t>
            </w:r>
          </w:p>
        </w:tc>
        <w:tc>
          <w:tcPr>
            <w:tcW w:type="dxa" w:w="1944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Ops + Technique</w:t>
            </w:r>
          </w:p>
        </w:tc>
        <w:tc>
          <w:tcPr>
            <w:tcW w:type="dxa" w:w="1296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Haute</w:t>
            </w:r>
          </w:p>
        </w:tc>
        <w:tc>
          <w:tcPr>
            <w:tcW w:type="dxa" w:w="3384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Valider Resend sur le domaine TransferAI puis remplacer onboarding@resend.dev par noreply@transferai.ci.</w:t>
            </w:r>
          </w:p>
        </w:tc>
      </w:tr>
      <w:tr>
        <w:trPr>
          <w:cantSplit/>
        </w:trPr>
        <w:tc>
          <w:tcPr>
            <w:tcW w:type="dxa" w:w="1440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Nettoyage</w:t>
            </w:r>
          </w:p>
        </w:tc>
        <w:tc>
          <w:tcPr>
            <w:tcW w:type="dxa" w:w="3312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Retrait des cibles de test et des usages de validation temporaires</w:t>
            </w:r>
          </w:p>
        </w:tc>
        <w:tc>
          <w:tcPr>
            <w:tcW w:type="dxa" w:w="1440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Remaining</w:t>
            </w:r>
          </w:p>
        </w:tc>
        <w:tc>
          <w:tcPr>
            <w:tcW w:type="dxa" w:w="1944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Ops</w:t>
            </w:r>
          </w:p>
        </w:tc>
        <w:tc>
          <w:tcPr>
            <w:tcW w:type="dxa" w:w="1296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Haute</w:t>
            </w:r>
          </w:p>
        </w:tc>
        <w:tc>
          <w:tcPr>
            <w:tcW w:type="dxa" w:w="3384"/>
            <w:shd w:fill="FFF7ED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Supprimer les adresses de démonstration et vérifier que l’envoi cible toujours le vrai prospect.</w:t>
            </w:r>
          </w:p>
        </w:tc>
      </w:tr>
      <w:tr>
        <w:trPr>
          <w:cantSplit/>
        </w:trPr>
        <w:tc>
          <w:tcPr>
            <w:tcW w:type="dxa" w:w="1440"/>
            <w:shd w:fill="FEF2F2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Audit Web</w:t>
            </w:r>
          </w:p>
        </w:tc>
        <w:tc>
          <w:tcPr>
            <w:tcW w:type="dxa" w:w="3312"/>
            <w:shd w:fill="FEF2F2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Finalisation du formulaire d’audit dynamique par pack_id</w:t>
            </w:r>
          </w:p>
        </w:tc>
        <w:tc>
          <w:tcPr>
            <w:tcW w:type="dxa" w:w="1440"/>
            <w:shd w:fill="FEF2F2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Blocking</w:t>
            </w:r>
          </w:p>
        </w:tc>
        <w:tc>
          <w:tcPr>
            <w:tcW w:type="dxa" w:w="1944"/>
            <w:shd w:fill="FEF2F2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Produit + Technique</w:t>
            </w:r>
          </w:p>
        </w:tc>
        <w:tc>
          <w:tcPr>
            <w:tcW w:type="dxa" w:w="1296"/>
            <w:shd w:fill="FEF2F2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Haute</w:t>
            </w:r>
          </w:p>
        </w:tc>
        <w:tc>
          <w:tcPr>
            <w:tcW w:type="dxa" w:w="3384"/>
            <w:shd w:fill="FEF2F2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Rendre le flux d’audit entièrement piloté par le pack, avec reprise native du contexte prospect.</w:t>
            </w:r>
          </w:p>
        </w:tc>
      </w:tr>
      <w:tr>
        <w:trPr>
          <w:cantSplit/>
        </w:trPr>
        <w:tc>
          <w:tcPr>
            <w:tcW w:type="dxa" w:w="1440"/>
            <w:shd w:fill="FEF2F2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QA Documentaire</w:t>
            </w:r>
          </w:p>
        </w:tc>
        <w:tc>
          <w:tcPr>
            <w:tcW w:type="dxa" w:w="3312"/>
            <w:shd w:fill="FEF2F2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Prévisualisation automatisée DOCX</w:t>
            </w:r>
          </w:p>
        </w:tc>
        <w:tc>
          <w:tcPr>
            <w:tcW w:type="dxa" w:w="1440"/>
            <w:shd w:fill="FEF2F2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Blocking partiel</w:t>
            </w:r>
          </w:p>
        </w:tc>
        <w:tc>
          <w:tcPr>
            <w:tcW w:type="dxa" w:w="1944"/>
            <w:shd w:fill="FEF2F2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Technique</w:t>
            </w:r>
          </w:p>
        </w:tc>
        <w:tc>
          <w:tcPr>
            <w:tcW w:type="dxa" w:w="1296"/>
            <w:shd w:fill="FEF2F2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Basse</w:t>
            </w:r>
          </w:p>
        </w:tc>
        <w:tc>
          <w:tcPr>
            <w:tcW w:type="dxa" w:w="3384"/>
            <w:shd w:fill="FEF2F2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Installer ou rendre disponible soffice pour une QA visuelle automatisée des documents Word.</w:t>
            </w:r>
          </w:p>
        </w:tc>
      </w:tr>
      <w:tr>
        <w:trPr>
          <w:cantSplit/>
        </w:trPr>
        <w:tc>
          <w:tcPr>
            <w:tcW w:type="dxa" w:w="1440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Industrialisation</w:t>
            </w:r>
          </w:p>
        </w:tc>
        <w:tc>
          <w:tcPr>
            <w:tcW w:type="dxa" w:w="3312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Grille de QA standard deck + catalogue</w:t>
            </w:r>
          </w:p>
        </w:tc>
        <w:tc>
          <w:tcPr>
            <w:tcW w:type="dxa" w:w="1440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Nice to have</w:t>
            </w:r>
          </w:p>
        </w:tc>
        <w:tc>
          <w:tcPr>
            <w:tcW w:type="dxa" w:w="1944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Ops</w:t>
            </w:r>
          </w:p>
        </w:tc>
        <w:tc>
          <w:tcPr>
            <w:tcW w:type="dxa" w:w="1296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Moyenne</w:t>
            </w:r>
          </w:p>
        </w:tc>
        <w:tc>
          <w:tcPr>
            <w:tcW w:type="dxa" w:w="3384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Créer une fiche de contrôle avant envoi couvrant lisibilité, langue, pièces jointes et CTA.</w:t>
            </w:r>
          </w:p>
        </w:tc>
      </w:tr>
      <w:tr>
        <w:trPr>
          <w:cantSplit/>
        </w:trPr>
        <w:tc>
          <w:tcPr>
            <w:tcW w:type="dxa" w:w="1440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Industrialisation</w:t>
            </w:r>
          </w:p>
        </w:tc>
        <w:tc>
          <w:tcPr>
            <w:tcW w:type="dxa" w:w="3312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Snapshots de rendu par langue et par secteur</w:t>
            </w:r>
          </w:p>
        </w:tc>
        <w:tc>
          <w:tcPr>
            <w:tcW w:type="dxa" w:w="1440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Nice to have</w:t>
            </w:r>
          </w:p>
        </w:tc>
        <w:tc>
          <w:tcPr>
            <w:tcW w:type="dxa" w:w="1944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Technique</w:t>
            </w:r>
          </w:p>
        </w:tc>
        <w:tc>
          <w:tcPr>
            <w:tcW w:type="dxa" w:w="1296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Basse</w:t>
            </w:r>
          </w:p>
        </w:tc>
        <w:tc>
          <w:tcPr>
            <w:tcW w:type="dxa" w:w="3384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Archiver quelques rendus de référence FR / EN / ES pour accélérer les validations futures.</w:t>
            </w:r>
          </w:p>
        </w:tc>
      </w:tr>
      <w:tr>
        <w:trPr>
          <w:cantSplit/>
        </w:trPr>
        <w:tc>
          <w:tcPr>
            <w:tcW w:type="dxa" w:w="1440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Industrialisation</w:t>
            </w:r>
          </w:p>
        </w:tc>
        <w:tc>
          <w:tcPr>
            <w:tcW w:type="dxa" w:w="3312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Guide interne go live production</w:t>
            </w:r>
          </w:p>
        </w:tc>
        <w:tc>
          <w:tcPr>
            <w:tcW w:type="dxa" w:w="1440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Nice to have</w:t>
            </w:r>
          </w:p>
        </w:tc>
        <w:tc>
          <w:tcPr>
            <w:tcW w:type="dxa" w:w="1944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Ops + Technique</w:t>
            </w:r>
          </w:p>
        </w:tc>
        <w:tc>
          <w:tcPr>
            <w:tcW w:type="dxa" w:w="1296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Moyenne</w:t>
            </w:r>
          </w:p>
        </w:tc>
        <w:tc>
          <w:tcPr>
            <w:tcW w:type="dxa" w:w="3384"/>
            <w:shd w:fill="F5F3FF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9"/>
              </w:rPr>
              <w:t>Formaliser un document court sur Resend, audit dynamique, contrôles V3 et règles d’exploitation.</w:t>
            </w:r>
          </w:p>
        </w:tc>
      </w:tr>
    </w:tbl>
    <w:p>
      <w:pPr>
        <w:pStyle w:val="Heading1"/>
      </w:pPr>
      <w:r>
        <w:t>2. Critère de sortie de phase 1</w:t>
      </w:r>
    </w:p>
    <w:p>
      <w:pPr>
        <w:pStyle w:val="ListBullet"/>
      </w:pPr>
      <w:r>
        <w:t>Au moins 3 à 5 packs réels passent correctement avec catalogue et deck premium.</w:t>
      </w:r>
    </w:p>
    <w:p>
      <w:pPr>
        <w:pStyle w:val="ListBullet"/>
      </w:pPr>
      <w:r>
        <w:t>Les deux pièces jointes finales sont systématiquement présentes : un PDF et un PPTX.</w:t>
      </w:r>
    </w:p>
    <w:p>
      <w:pPr>
        <w:pStyle w:val="ListBullet"/>
      </w:pPr>
      <w:r>
        <w:t>Le rendu du deck et du mini-catalogue est jugé lisible, cohérent et premium sur plusieurs cas.</w:t>
      </w:r>
    </w:p>
    <w:p>
      <w:pPr>
        <w:pStyle w:val="ListBullet"/>
      </w:pPr>
      <w:r>
        <w:t>Le formulaire d’audit dynamique par pack_id est validé fonctionnellement.</w:t>
      </w:r>
    </w:p>
    <w:p>
      <w:pPr>
        <w:pStyle w:val="ListBullet"/>
      </w:pPr>
      <w:r>
        <w:t>L’envoi email est prêt à basculer sur le domaine de production.</w:t>
      </w:r>
    </w:p>
    <w:p>
      <w:pPr>
        <w:pStyle w:val="Heading1"/>
      </w:pPr>
      <w:r>
        <w:t>3. Recommandation opérationnelle</w:t>
      </w:r>
    </w:p>
    <w:p>
      <w:pPr>
        <w:pStyle w:val="ListBullet"/>
      </w:pPr>
      <w:r>
        <w:t>La phase 1 n’est plus bloquée sur la chaîne technique principale.</w:t>
      </w:r>
    </w:p>
    <w:p>
      <w:pPr>
        <w:pStyle w:val="ListBullet"/>
      </w:pPr>
      <w:r>
        <w:t>La priorité doit maintenant être mise sur la validation transverse, la qualité perçue des livrables et la sécurisation des usages de production.</w:t>
      </w:r>
    </w:p>
    <w:p>
      <w:r>
        <w:rPr>
          <w:color w:val="4B5563"/>
          <w:sz w:val="18"/>
        </w:rPr>
        <w:t>Document de pilotage opérationnel généré à partir de l’état réel du workflow V3, des renderers Supabase et des guides de référence mis à jour au 2 juin 2026.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4C8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4C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F4C8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