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opératoire</w:t>
      </w:r>
    </w:p>
    <w:p>
      <w:pPr>
        <w:pStyle w:val="Heading1"/>
        <w:spacing w:before="200" w:after="60"/>
      </w:pPr>
      <w:r>
        <w:t>Veille réglementaire IA</w:t>
      </w:r>
    </w:p>
    <w:p>
      <w:pPr>
        <w:pStyle w:val="Heading2"/>
        <w:spacing w:before="120" w:after="60"/>
      </w:pPr>
      <w:r>
        <w:t>Banque - Côte d'Ivoire</w:t>
      </w:r>
    </w:p>
    <w:p>
      <w:pPr>
        <w:spacing w:after="120"/>
      </w:pPr>
      <w:r>
        <w:t>Ce guide explique comment alimenter la veille réglementaire IA en moins de 5 minutes par signal.</w:t>
      </w:r>
    </w:p>
    <w:p>
      <w:pPr>
        <w:pStyle w:val="Heading1"/>
        <w:spacing w:before="200" w:after="60"/>
      </w:pPr>
      <w:r>
        <w:t>Objectif</w:t>
      </w:r>
    </w:p>
    <w:p>
      <w:pPr>
        <w:spacing w:after="120"/>
      </w:pPr>
      <w:r>
        <w:t>Transformer rapidement une nouvelle information réglementaire ou institutionnelle en:</w:t>
      </w:r>
    </w:p>
    <w:p>
      <w:pPr>
        <w:pStyle w:val="ListBullet"/>
        <w:spacing w:after="40"/>
      </w:pPr>
      <w:r>
        <w:t>signal enregistré</w:t>
      </w:r>
    </w:p>
    <w:p>
      <w:pPr>
        <w:pStyle w:val="ListBullet"/>
        <w:spacing w:after="40"/>
      </w:pPr>
      <w:r>
        <w:t>brouillon exploitable</w:t>
      </w:r>
    </w:p>
    <w:p>
      <w:pPr>
        <w:pStyle w:val="ListBullet"/>
        <w:spacing w:after="40"/>
      </w:pPr>
      <w:r>
        <w:t>note publiée dans le feed de veille</w:t>
      </w:r>
    </w:p>
    <w:p>
      <w:pPr>
        <w:pStyle w:val="Heading1"/>
        <w:spacing w:before="200" w:after="60"/>
      </w:pPr>
      <w:r>
        <w:t>Quand utiliser ce process</w:t>
      </w:r>
    </w:p>
    <w:p>
      <w:pPr>
        <w:spacing w:after="120"/>
      </w:pPr>
      <w:r>
        <w:t>Utilisez ce process dès qu'un nouveau contenu apparaît sur:</w:t>
      </w:r>
    </w:p>
    <w:p>
      <w:pPr>
        <w:pStyle w:val="ListBullet"/>
        <w:spacing w:after="40"/>
      </w:pPr>
      <w:r>
        <w:t>BCEAO</w:t>
      </w:r>
    </w:p>
    <w:p>
      <w:pPr>
        <w:pStyle w:val="ListBullet"/>
        <w:spacing w:after="40"/>
      </w:pPr>
      <w:r>
        <w:t>UEMOA</w:t>
      </w:r>
    </w:p>
    <w:p>
      <w:pPr>
        <w:pStyle w:val="ListBullet"/>
        <w:spacing w:after="40"/>
      </w:pPr>
      <w:r>
        <w:t>ARTCI</w:t>
      </w:r>
    </w:p>
    <w:p>
      <w:pPr>
        <w:pStyle w:val="ListBullet"/>
        <w:spacing w:after="40"/>
      </w:pPr>
      <w:r>
        <w:t>une autorité de protection des données</w:t>
      </w:r>
    </w:p>
    <w:p>
      <w:pPr>
        <w:pStyle w:val="ListBullet"/>
        <w:spacing w:after="40"/>
      </w:pPr>
      <w:r>
        <w:t>une institution bancaire ou un régulateur utile</w:t>
      </w:r>
    </w:p>
    <w:p>
      <w:pPr>
        <w:pStyle w:val="ListBullet"/>
        <w:spacing w:after="40"/>
      </w:pPr>
      <w:r>
        <w:t>une source sectorielle crédible sur IA, conformité, gouvernance ou données</w:t>
      </w:r>
    </w:p>
    <w:p>
      <w:pPr>
        <w:pStyle w:val="Heading1"/>
        <w:spacing w:before="200" w:after="60"/>
      </w:pPr>
      <w:r>
        <w:t>Accès</w:t>
      </w:r>
    </w:p>
    <w:p>
      <w:pPr>
        <w:spacing w:after="120"/>
      </w:pPr>
      <w:r>
        <w:t>Ouvrir: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/back-office?tab=editorial</w:t>
      </w:r>
      <w:r>
        <w:t xml:space="preserve"> pour injecter et traiter les signaux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/back-office?tab=resources</w:t>
      </w:r>
      <w:r>
        <w:t xml:space="preserve"> pour publier ou enrichir une note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/veille-reglementaire-ia</w:t>
      </w:r>
      <w:r>
        <w:t xml:space="preserve"> pour vérifier le rendu public</w:t>
      </w:r>
    </w:p>
    <w:p>
      <w:pPr>
        <w:pStyle w:val="Heading1"/>
        <w:spacing w:before="200" w:after="60"/>
      </w:pPr>
      <w:r>
        <w:t>Process en 5 minutes</w:t>
      </w:r>
    </w:p>
    <w:p>
      <w:pPr>
        <w:pStyle w:val="Heading2"/>
        <w:spacing w:before="120" w:after="60"/>
      </w:pPr>
      <w:r>
        <w:t>1. Repérer le signal</w:t>
      </w:r>
    </w:p>
    <w:p>
      <w:pPr>
        <w:spacing w:after="120"/>
      </w:pPr>
      <w:r>
        <w:t>Dès qu'un texte utile est détecté, relever:</w:t>
      </w:r>
    </w:p>
    <w:p>
      <w:pPr>
        <w:pStyle w:val="ListBullet"/>
        <w:spacing w:after="40"/>
      </w:pPr>
      <w:r>
        <w:t>le titre exact</w:t>
      </w:r>
    </w:p>
    <w:p>
      <w:pPr>
        <w:pStyle w:val="ListBullet"/>
        <w:spacing w:after="40"/>
      </w:pPr>
      <w:r>
        <w:t>l'URL source</w:t>
      </w:r>
    </w:p>
    <w:p>
      <w:pPr>
        <w:pStyle w:val="ListBullet"/>
        <w:spacing w:after="40"/>
      </w:pPr>
      <w:r>
        <w:t>la date</w:t>
      </w:r>
    </w:p>
    <w:p>
      <w:pPr>
        <w:pStyle w:val="ListBullet"/>
        <w:spacing w:after="40"/>
      </w:pPr>
      <w:r>
        <w:t>un résumé court ou l'extrait important</w:t>
      </w:r>
    </w:p>
    <w:p>
      <w:pPr>
        <w:spacing w:after="120"/>
      </w:pPr>
      <w:r>
        <w:t>Exemples:</w:t>
      </w:r>
    </w:p>
    <w:p>
      <w:pPr>
        <w:pStyle w:val="ListBullet"/>
        <w:spacing w:after="40"/>
      </w:pPr>
      <w:r>
        <w:t>note BCEAO</w:t>
      </w:r>
    </w:p>
    <w:p>
      <w:pPr>
        <w:pStyle w:val="ListBullet"/>
        <w:spacing w:after="40"/>
      </w:pPr>
      <w:r>
        <w:t>décision ARTCI</w:t>
      </w:r>
    </w:p>
    <w:p>
      <w:pPr>
        <w:pStyle w:val="ListBullet"/>
        <w:spacing w:after="40"/>
      </w:pPr>
      <w:r>
        <w:t>annonce UEMOA</w:t>
      </w:r>
    </w:p>
    <w:p>
      <w:pPr>
        <w:pStyle w:val="ListBullet"/>
        <w:spacing w:after="40"/>
      </w:pPr>
      <w:r>
        <w:t>publication sur données personnelles</w:t>
      </w:r>
    </w:p>
    <w:p>
      <w:pPr>
        <w:pStyle w:val="ListBullet"/>
        <w:spacing w:after="40"/>
      </w:pPr>
      <w:r>
        <w:t>cadre de gouvernance IA</w:t>
      </w:r>
    </w:p>
    <w:p>
      <w:pPr>
        <w:pStyle w:val="Heading2"/>
        <w:spacing w:before="120" w:after="60"/>
      </w:pPr>
      <w:r>
        <w:t>2. Injecter le signal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/back-office?tab=editorial</w:t>
      </w:r>
      <w:r>
        <w:t>:</w:t>
      </w:r>
    </w:p>
    <w:p>
      <w:pPr>
        <w:pStyle w:val="ListBullet"/>
        <w:spacing w:after="40"/>
      </w:pPr>
      <w:r>
        <w:t xml:space="preserve">aller à </w:t>
      </w:r>
      <w:r>
        <w:rPr>
          <w:rFonts w:ascii="Courier New" w:hAnsi="Courier New"/>
          <w:sz w:val="20"/>
        </w:rPr>
        <w:t>Injecter un signal réglementaire</w:t>
      </w:r>
    </w:p>
    <w:p>
      <w:pPr>
        <w:pStyle w:val="ListBullet"/>
        <w:spacing w:after="40"/>
      </w:pPr>
      <w:r>
        <w:t xml:space="preserve">coller le </w:t>
      </w:r>
      <w:r>
        <w:rPr>
          <w:rFonts w:ascii="Courier New" w:hAnsi="Courier New"/>
          <w:sz w:val="20"/>
        </w:rPr>
        <w:t>Titre du signal</w:t>
      </w:r>
    </w:p>
    <w:p>
      <w:pPr>
        <w:pStyle w:val="ListBullet"/>
        <w:spacing w:after="40"/>
      </w:pPr>
      <w:r>
        <w:t>coller l'</w:t>
      </w:r>
      <w:r>
        <w:rPr>
          <w:rFonts w:ascii="Courier New" w:hAnsi="Courier New"/>
          <w:sz w:val="20"/>
        </w:rPr>
        <w:t>URL source</w:t>
      </w:r>
    </w:p>
    <w:p>
      <w:pPr>
        <w:pStyle w:val="ListBullet"/>
        <w:spacing w:after="40"/>
      </w:pPr>
      <w:r>
        <w:t xml:space="preserve">renseigner la </w:t>
      </w:r>
      <w:r>
        <w:rPr>
          <w:rFonts w:ascii="Courier New" w:hAnsi="Courier New"/>
          <w:sz w:val="20"/>
        </w:rPr>
        <w:t>date/heure</w:t>
      </w:r>
    </w:p>
    <w:p>
      <w:pPr>
        <w:pStyle w:val="ListBullet"/>
        <w:spacing w:after="40"/>
      </w:pPr>
      <w:r>
        <w:t xml:space="preserve">coller un </w:t>
      </w:r>
      <w:r>
        <w:rPr>
          <w:rFonts w:ascii="Courier New" w:hAnsi="Courier New"/>
          <w:sz w:val="20"/>
        </w:rPr>
        <w:t>Résumé ou extrait important</w:t>
      </w:r>
    </w:p>
    <w:p>
      <w:pPr>
        <w:pStyle w:val="ListBullet"/>
        <w:spacing w:after="40"/>
      </w:pPr>
      <w:r>
        <w:t xml:space="preserve">cliquer sur </w:t>
      </w:r>
      <w:r>
        <w:rPr>
          <w:rFonts w:ascii="Courier New" w:hAnsi="Courier New"/>
          <w:sz w:val="20"/>
        </w:rPr>
        <w:t>Ajouter à la file</w:t>
      </w:r>
    </w:p>
    <w:p>
      <w:pPr>
        <w:spacing w:after="120"/>
      </w:pPr>
      <w:r>
        <w:t>Résultat attendu:</w:t>
      </w:r>
    </w:p>
    <w:p>
      <w:pPr>
        <w:pStyle w:val="ListBullet"/>
        <w:spacing w:after="40"/>
      </w:pPr>
      <w:r>
        <w:t>le signal apparaît dans la file éditoriale</w:t>
      </w:r>
    </w:p>
    <w:p>
      <w:pPr>
        <w:pStyle w:val="Heading2"/>
        <w:spacing w:before="120" w:after="60"/>
      </w:pPr>
      <w:r>
        <w:t>3. Lancer le pipeline</w:t>
      </w:r>
    </w:p>
    <w:p>
      <w:pPr>
        <w:spacing w:after="120"/>
      </w:pPr>
      <w:r>
        <w:t xml:space="preserve">Toujours dans l'onglet </w:t>
      </w:r>
      <w:r>
        <w:rPr>
          <w:rFonts w:ascii="Courier New" w:hAnsi="Courier New"/>
          <w:sz w:val="20"/>
        </w:rPr>
        <w:t>editorial</w:t>
      </w:r>
      <w:r>
        <w:t>:</w:t>
      </w:r>
    </w:p>
    <w:p>
      <w:pPr>
        <w:pStyle w:val="ListBullet"/>
        <w:spacing w:after="40"/>
      </w:pPr>
      <w:r>
        <w:t xml:space="preserve">cliquer sur </w:t>
      </w:r>
      <w:r>
        <w:rPr>
          <w:rFonts w:ascii="Courier New" w:hAnsi="Courier New"/>
          <w:sz w:val="20"/>
        </w:rPr>
        <w:t>1. Lancer la collecte des sources</w:t>
      </w:r>
    </w:p>
    <w:p>
      <w:pPr>
        <w:pStyle w:val="ListBullet"/>
        <w:spacing w:after="40"/>
      </w:pPr>
      <w:r>
        <w:t xml:space="preserve">cliquer sur </w:t>
      </w:r>
      <w:r>
        <w:rPr>
          <w:rFonts w:ascii="Courier New" w:hAnsi="Courier New"/>
          <w:sz w:val="20"/>
        </w:rPr>
        <w:t>2. Classer les nouveaux signaux</w:t>
      </w:r>
    </w:p>
    <w:p>
      <w:pPr>
        <w:pStyle w:val="ListBullet"/>
        <w:spacing w:after="40"/>
      </w:pPr>
      <w:r>
        <w:t xml:space="preserve">cliquer sur </w:t>
      </w:r>
      <w:r>
        <w:rPr>
          <w:rFonts w:ascii="Courier New" w:hAnsi="Courier New"/>
          <w:sz w:val="20"/>
        </w:rPr>
        <w:t>3. Générer les brouillons FR</w:t>
      </w:r>
    </w:p>
    <w:p>
      <w:pPr>
        <w:spacing w:after="120"/>
      </w:pPr>
      <w:r>
        <w:t>Résultat attendu:</w:t>
      </w:r>
    </w:p>
    <w:p>
      <w:pPr>
        <w:pStyle w:val="ListBullet"/>
        <w:spacing w:after="40"/>
      </w:pPr>
      <w:r>
        <w:t>le signal devient un brouillon FR relisible</w:t>
      </w:r>
    </w:p>
    <w:p>
      <w:pPr>
        <w:pStyle w:val="Heading2"/>
        <w:spacing w:before="120" w:after="60"/>
      </w:pPr>
      <w:r>
        <w:t>4. Vérifier le brouillon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Brouillons IA à relire</w:t>
      </w:r>
      <w:r>
        <w:t>:</w:t>
      </w:r>
    </w:p>
    <w:p>
      <w:pPr>
        <w:pStyle w:val="ListBullet"/>
        <w:spacing w:after="40"/>
      </w:pPr>
      <w:r>
        <w:t>ouvrir la source d'origine</w:t>
      </w:r>
    </w:p>
    <w:p>
      <w:pPr>
        <w:pStyle w:val="ListBullet"/>
        <w:spacing w:after="40"/>
      </w:pPr>
      <w:r>
        <w:t>vérifier le titre</w:t>
      </w:r>
    </w:p>
    <w:p>
      <w:pPr>
        <w:pStyle w:val="ListBullet"/>
        <w:spacing w:after="40"/>
      </w:pPr>
      <w:r>
        <w:t>vérifier le résumé</w:t>
      </w:r>
    </w:p>
    <w:p>
      <w:pPr>
        <w:pStyle w:val="ListBullet"/>
        <w:spacing w:after="40"/>
      </w:pPr>
      <w:r>
        <w:t>vérifier l'angle métier banque / conformité</w:t>
      </w:r>
    </w:p>
    <w:p>
      <w:pPr>
        <w:pStyle w:val="ListBullet"/>
        <w:spacing w:after="40"/>
      </w:pPr>
      <w:r>
        <w:t>corriger si nécessaire</w:t>
      </w:r>
    </w:p>
    <w:p>
      <w:pPr>
        <w:spacing w:after="120"/>
      </w:pPr>
      <w:r>
        <w:t>À contrôler en priorité:</w:t>
      </w:r>
    </w:p>
    <w:p>
      <w:pPr>
        <w:pStyle w:val="ListBullet"/>
        <w:spacing w:after="40"/>
      </w:pPr>
      <w:r>
        <w:t>pas d'affirmation non sourcée</w:t>
      </w:r>
    </w:p>
    <w:p>
      <w:pPr>
        <w:pStyle w:val="ListBullet"/>
        <w:spacing w:after="40"/>
      </w:pPr>
      <w:r>
        <w:t>pas de conclusion juridique trop forte</w:t>
      </w:r>
    </w:p>
    <w:p>
      <w:pPr>
        <w:pStyle w:val="ListBullet"/>
        <w:spacing w:after="40"/>
      </w:pPr>
      <w:r>
        <w:t>pas de confusion entre Côte d'Ivoire, UEMOA et international</w:t>
      </w:r>
    </w:p>
    <w:p>
      <w:pPr>
        <w:pStyle w:val="Heading2"/>
        <w:spacing w:before="120" w:after="60"/>
      </w:pPr>
      <w:r>
        <w:t>5. Publier la note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/back-office?tab=resources</w:t>
      </w:r>
      <w:r>
        <w:t>:</w:t>
      </w:r>
    </w:p>
    <w:p>
      <w:pPr>
        <w:pStyle w:val="ListBullet"/>
        <w:spacing w:after="40"/>
      </w:pPr>
      <w:r>
        <w:t>vérifier ou compléter le contenu</w:t>
      </w:r>
    </w:p>
    <w:p>
      <w:pPr>
        <w:pStyle w:val="ListBullet"/>
        <w:spacing w:after="40"/>
      </w:pPr>
      <w:r>
        <w:t>ajouter les tags métier</w:t>
      </w:r>
    </w:p>
    <w:p>
      <w:pPr>
        <w:pStyle w:val="ListBullet"/>
        <w:spacing w:after="40"/>
      </w:pPr>
      <w:r>
        <w:t>vérifier la source</w:t>
      </w:r>
    </w:p>
    <w:p>
      <w:pPr>
        <w:pStyle w:val="ListBullet"/>
        <w:spacing w:after="40"/>
      </w:pPr>
      <w:r>
        <w:t>publier la ressource</w:t>
      </w:r>
    </w:p>
    <w:p>
      <w:pPr>
        <w:spacing w:after="120"/>
      </w:pPr>
      <w:r>
        <w:t>Résultat attendu:</w:t>
      </w:r>
    </w:p>
    <w:p>
      <w:pPr>
        <w:pStyle w:val="ListBullet"/>
        <w:spacing w:after="40"/>
      </w:pPr>
      <w:r>
        <w:t xml:space="preserve">la note apparaît dans </w:t>
      </w:r>
      <w:r>
        <w:rPr>
          <w:rFonts w:ascii="Courier New" w:hAnsi="Courier New"/>
          <w:sz w:val="20"/>
        </w:rPr>
        <w:t>/veille-reglementaire-ia</w:t>
      </w:r>
    </w:p>
    <w:p>
      <w:pPr>
        <w:pStyle w:val="Heading1"/>
        <w:spacing w:before="200" w:after="60"/>
      </w:pPr>
      <w:r>
        <w:t>Tags à utiliser</w:t>
      </w:r>
    </w:p>
    <w:p>
      <w:pPr>
        <w:spacing w:after="120"/>
      </w:pPr>
      <w:r>
        <w:t>Toujours mettre:</w:t>
      </w:r>
    </w:p>
    <w:p>
      <w:pPr>
        <w:pStyle w:val="ListBullet"/>
        <w:spacing w:after="40"/>
      </w:pPr>
      <w:r>
        <w:t xml:space="preserve">1 tag </w:t>
      </w:r>
      <w:r>
        <w:rPr>
          <w:rFonts w:ascii="Courier New" w:hAnsi="Courier New"/>
          <w:sz w:val="20"/>
        </w:rPr>
        <w:t>jurisdiction</w:t>
      </w:r>
    </w:p>
    <w:p>
      <w:pPr>
        <w:pStyle w:val="ListBullet"/>
        <w:spacing w:after="40"/>
      </w:pPr>
      <w:r>
        <w:t xml:space="preserve">1 tag </w:t>
      </w:r>
      <w:r>
        <w:rPr>
          <w:rFonts w:ascii="Courier New" w:hAnsi="Courier New"/>
          <w:sz w:val="20"/>
        </w:rPr>
        <w:t>authority</w:t>
      </w:r>
    </w:p>
    <w:p>
      <w:pPr>
        <w:pStyle w:val="ListBullet"/>
        <w:spacing w:after="40"/>
      </w:pPr>
      <w:r>
        <w:t xml:space="preserve">1 ou 2 tags </w:t>
      </w:r>
      <w:r>
        <w:rPr>
          <w:rFonts w:ascii="Courier New" w:hAnsi="Courier New"/>
          <w:sz w:val="20"/>
        </w:rPr>
        <w:t>theme</w:t>
      </w:r>
    </w:p>
    <w:p>
      <w:pPr>
        <w:pStyle w:val="ListBullet"/>
        <w:spacing w:after="40"/>
      </w:pPr>
      <w:r>
        <w:t xml:space="preserve">1 tag </w:t>
      </w:r>
      <w:r>
        <w:rPr>
          <w:rFonts w:ascii="Courier New" w:hAnsi="Courier New"/>
          <w:sz w:val="20"/>
        </w:rPr>
        <w:t>impact</w:t>
      </w:r>
    </w:p>
    <w:p>
      <w:pPr>
        <w:pStyle w:val="Heading2"/>
        <w:spacing w:before="120" w:after="60"/>
      </w:pPr>
      <w:r>
        <w:t>Tags recommandés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jurisdiction:cote-divoire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jurisdiction:uemoa-bceao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jurisdiction:international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authority:bceao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authority:uemoa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authority:artci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theme:gouvernance-ia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theme:donnees-personnelles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theme:conformite-bancaire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impact:high</w:t>
      </w:r>
    </w:p>
    <w:p>
      <w:pPr>
        <w:pStyle w:val="Heading1"/>
        <w:spacing w:before="200" w:after="60"/>
      </w:pPr>
      <w:r>
        <w:t>Exemples rapides</w:t>
      </w:r>
    </w:p>
    <w:p>
      <w:pPr>
        <w:pStyle w:val="Heading2"/>
        <w:spacing w:before="120" w:after="60"/>
      </w:pPr>
      <w:r>
        <w:t>Cas 1 - Note BCEAO</w:t>
      </w:r>
    </w:p>
    <w:p>
      <w:pPr>
        <w:spacing w:after="120"/>
      </w:pPr>
      <w:r>
        <w:t>Tags: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jurisdiction:uemoa-bceao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authority:bceao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theme:conformite-bancaire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theme:gouvernance-ia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impact:high</w:t>
      </w:r>
    </w:p>
    <w:p>
      <w:pPr>
        <w:pStyle w:val="Heading2"/>
        <w:spacing w:before="120" w:after="60"/>
      </w:pPr>
      <w:r>
        <w:t>Cas 2 - Décision locale données personnelles</w:t>
      </w:r>
    </w:p>
    <w:p>
      <w:pPr>
        <w:spacing w:after="120"/>
      </w:pPr>
      <w:r>
        <w:t>Tags: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jurisdiction:cote-divoire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authority:artci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theme:donnees-personnelles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impact:high</w:t>
      </w:r>
    </w:p>
    <w:p>
      <w:pPr>
        <w:pStyle w:val="Heading2"/>
        <w:spacing w:before="120" w:after="60"/>
      </w:pPr>
      <w:r>
        <w:t>Cas 3 - Référence internationale à surveiller</w:t>
      </w:r>
    </w:p>
    <w:p>
      <w:pPr>
        <w:spacing w:after="120"/>
      </w:pPr>
      <w:r>
        <w:t>Tags: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jurisdiction:international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theme:gouvernance-ia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impact:monitor</w:t>
      </w:r>
    </w:p>
    <w:p>
      <w:pPr>
        <w:pStyle w:val="Heading1"/>
        <w:spacing w:before="200" w:after="60"/>
      </w:pPr>
      <w:r>
        <w:t>Règle éditoriale</w:t>
      </w:r>
    </w:p>
    <w:p>
      <w:pPr>
        <w:spacing w:after="120"/>
      </w:pPr>
      <w:r>
        <w:t>La note doit répondre à cette question:</w:t>
      </w:r>
    </w:p>
    <w:p>
      <w:pPr>
        <w:spacing w:after="120"/>
      </w:pPr>
      <w:r>
        <w:t>Qu'est-ce que ce signal change concrètement pour une banque ou une fonction conformité en Côte d'Ivoire ?</w:t>
      </w:r>
    </w:p>
    <w:p>
      <w:pPr>
        <w:spacing w:after="120"/>
      </w:pPr>
      <w:r>
        <w:t>Le texte final doit rester:</w:t>
      </w:r>
    </w:p>
    <w:p>
      <w:pPr>
        <w:pStyle w:val="ListBullet"/>
        <w:spacing w:after="40"/>
      </w:pPr>
      <w:r>
        <w:t>factuel</w:t>
      </w:r>
    </w:p>
    <w:p>
      <w:pPr>
        <w:pStyle w:val="ListBullet"/>
        <w:spacing w:after="40"/>
      </w:pPr>
      <w:r>
        <w:t>court</w:t>
      </w:r>
    </w:p>
    <w:p>
      <w:pPr>
        <w:pStyle w:val="ListBullet"/>
        <w:spacing w:after="40"/>
      </w:pPr>
      <w:r>
        <w:t>utile</w:t>
      </w:r>
    </w:p>
    <w:p>
      <w:pPr>
        <w:pStyle w:val="ListBullet"/>
        <w:spacing w:after="40"/>
      </w:pPr>
      <w:r>
        <w:t>orienté décision</w:t>
      </w:r>
    </w:p>
    <w:p>
      <w:pPr>
        <w:pStyle w:val="Heading1"/>
        <w:spacing w:before="200" w:after="60"/>
      </w:pPr>
      <w:r>
        <w:t>Checklist finale</w:t>
      </w:r>
    </w:p>
    <w:p>
      <w:pPr>
        <w:spacing w:after="120"/>
      </w:pPr>
      <w:r>
        <w:t>Avant publication, vérifier:</w:t>
      </w:r>
    </w:p>
    <w:p>
      <w:pPr>
        <w:pStyle w:val="ListBullet"/>
        <w:spacing w:after="40"/>
      </w:pPr>
      <w:r>
        <w:t>la source est officielle ou crédible</w:t>
      </w:r>
    </w:p>
    <w:p>
      <w:pPr>
        <w:pStyle w:val="ListBullet"/>
        <w:spacing w:after="40"/>
      </w:pPr>
      <w:r>
        <w:t>le titre est clair</w:t>
      </w:r>
    </w:p>
    <w:p>
      <w:pPr>
        <w:pStyle w:val="ListBullet"/>
        <w:spacing w:after="40"/>
      </w:pPr>
      <w:r>
        <w:t>le résumé est compréhensible</w:t>
      </w:r>
    </w:p>
    <w:p>
      <w:pPr>
        <w:pStyle w:val="ListBullet"/>
        <w:spacing w:after="40"/>
      </w:pPr>
      <w:r>
        <w:t>les tags sont cohérents</w:t>
      </w:r>
    </w:p>
    <w:p>
      <w:pPr>
        <w:pStyle w:val="ListBullet"/>
        <w:spacing w:after="40"/>
      </w:pPr>
      <w:r>
        <w:t>la juridiction est correcte</w:t>
      </w:r>
    </w:p>
    <w:p>
      <w:pPr>
        <w:pStyle w:val="ListBullet"/>
        <w:spacing w:after="40"/>
      </w:pPr>
      <w:r>
        <w:t>l'impact est correctement estimé</w:t>
      </w:r>
    </w:p>
    <w:p>
      <w:pPr>
        <w:pStyle w:val="ListBullet"/>
        <w:spacing w:after="40"/>
      </w:pPr>
      <w:r>
        <w:t>la note apporte une lecture métier</w:t>
      </w:r>
    </w:p>
    <w:p>
      <w:pPr>
        <w:pStyle w:val="Heading1"/>
        <w:spacing w:before="200" w:after="60"/>
      </w:pPr>
      <w:r>
        <w:t>Temps cible</w:t>
      </w:r>
    </w:p>
    <w:p>
      <w:pPr>
        <w:spacing w:after="120"/>
      </w:pPr>
      <w:r>
        <w:t>Temps moyen recommandé par signal:</w:t>
      </w:r>
    </w:p>
    <w:p>
      <w:pPr>
        <w:pStyle w:val="ListBullet"/>
        <w:spacing w:after="40"/>
      </w:pPr>
      <w:r>
        <w:t>1 minute pour repérer et résumer</w:t>
      </w:r>
    </w:p>
    <w:p>
      <w:pPr>
        <w:pStyle w:val="ListBullet"/>
        <w:spacing w:after="40"/>
      </w:pPr>
      <w:r>
        <w:t>1 minute pour injecter</w:t>
      </w:r>
    </w:p>
    <w:p>
      <w:pPr>
        <w:pStyle w:val="ListBullet"/>
        <w:spacing w:after="40"/>
      </w:pPr>
      <w:r>
        <w:t>1 minute pour lancer le pipeline</w:t>
      </w:r>
    </w:p>
    <w:p>
      <w:pPr>
        <w:pStyle w:val="ListBullet"/>
        <w:spacing w:after="40"/>
      </w:pPr>
      <w:r>
        <w:t>1 à 2 minutes pour relire et publier</w:t>
      </w:r>
    </w:p>
    <w:p>
      <w:pPr>
        <w:spacing w:after="120"/>
      </w:pPr>
      <w:r>
        <w:t>Objectif:</w:t>
      </w:r>
    </w:p>
    <w:p>
      <w:pPr>
        <w:pStyle w:val="ListBullet"/>
        <w:spacing w:after="40"/>
      </w:pPr>
      <w:r>
        <w:t>moins de 5 minutes par signal standard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