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Workflow V1 n8n - Guide de reconstruction pas à pas</w:t>
      </w:r>
    </w:p>
    <w:p>
      <w:pPr>
        <w:pStyle w:val="Subtitle"/>
        <w:spacing w:after="280"/>
        <w:jc w:val="center"/>
      </w:pPr>
      <w:r>
        <w:t xml:space="preserve">Ce document explique comment reconstruire dans n8n le workflow </w:t>
      </w:r>
      <w:r>
        <w:rPr>
          <w:b/>
        </w:rPr>
        <w:t>V1 de prospection multi-prospects</w:t>
      </w:r>
      <w:r>
        <w:t xml:space="preserve">. · Le nom du fichier JSON conserve une trace historique, mais la logique décrite ici est désormais pensée pour une </w:t>
      </w:r>
      <w:r>
        <w:rPr>
          <w:b/>
        </w:rPr>
        <w:t>CRM de 100 prospects et plus</w:t>
      </w:r>
      <w:r>
        <w:t>, avec personnalisation par cible.</w:t>
      </w:r>
    </w:p>
    <w:p>
      <w:pPr>
        <w:spacing w:after="120"/>
      </w:pPr>
      <w:r>
        <w:t>Fichier source du workflow :</w:t>
      </w:r>
    </w:p>
    <w:p>
      <w:pPr>
        <w:pStyle w:val="ListBullet"/>
        <w:spacing w:after="40"/>
      </w:pPr>
      <w:r>
        <w:t>[42_n8n_Prospection_Modele_Elton_V1.json](./42_n8n_Prospection_Modele_Elton_V1.json)</w:t>
      </w:r>
    </w:p>
    <w:p>
      <w:pPr>
        <w:pStyle w:val="Heading1"/>
        <w:spacing w:before="200" w:after="60"/>
      </w:pPr>
      <w:r>
        <w:t>Objectif</w:t>
      </w:r>
    </w:p>
    <w:p>
      <w:pPr>
        <w:spacing w:after="120"/>
      </w:pPr>
      <w:r>
        <w:t>Reconstruire un workflow qui :</w:t>
      </w:r>
    </w:p>
    <w:p>
      <w:pPr>
        <w:pStyle w:val="ListBullet"/>
        <w:spacing w:after="40"/>
      </w:pPr>
      <w:r>
        <w:t>scrape des pages publiques ciblées</w:t>
      </w:r>
    </w:p>
    <w:p>
      <w:pPr>
        <w:pStyle w:val="ListBullet"/>
        <w:spacing w:after="40"/>
      </w:pPr>
      <w:r>
        <w:t>assainit les données avant tout appel au LLM</w:t>
      </w:r>
    </w:p>
    <w:p>
      <w:pPr>
        <w:pStyle w:val="ListBullet"/>
        <w:spacing w:after="40"/>
      </w:pPr>
      <w:r>
        <w:t>produit un pré-audit commercial</w:t>
      </w:r>
    </w:p>
    <w:p>
      <w:pPr>
        <w:pStyle w:val="ListBullet"/>
        <w:spacing w:after="40"/>
      </w:pPr>
      <w:r>
        <w:t>génère un courrier, un mini-catalogue, une forme d’audit et un brief de deck</w:t>
      </w:r>
    </w:p>
    <w:p>
      <w:pPr>
        <w:pStyle w:val="ListBullet"/>
        <w:spacing w:after="40"/>
      </w:pPr>
      <w:r>
        <w:t>s’arrête en validation manuelle</w:t>
      </w:r>
    </w:p>
    <w:p>
      <w:pPr>
        <w:pStyle w:val="Heading1"/>
        <w:spacing w:before="200" w:after="60"/>
      </w:pPr>
      <w:r>
        <w:t>Pré-requis</w:t>
      </w:r>
    </w:p>
    <w:p>
      <w:pPr>
        <w:spacing w:after="120"/>
      </w:pPr>
      <w:r>
        <w:t>Avant de commencer, définir dans n8n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OPENAI_API_KEY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OPENAI_MODEL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Heading1"/>
        <w:spacing w:before="200" w:after="60"/>
      </w:pPr>
      <w:r>
        <w:t>Architecture générale</w:t>
      </w:r>
    </w:p>
    <w:p>
      <w:pPr>
        <w:spacing w:after="120"/>
      </w:pPr>
      <w:r>
        <w:t>Le workflow suit 6 blocs :</w:t>
      </w:r>
    </w:p>
    <w:p>
      <w:pPr>
        <w:pStyle w:val="ListNumber"/>
        <w:spacing w:after="40"/>
      </w:pPr>
      <w:r>
        <w:t>initialisation de la cible</w:t>
      </w:r>
    </w:p>
    <w:p>
      <w:pPr>
        <w:pStyle w:val="ListNumber"/>
        <w:spacing w:after="40"/>
      </w:pPr>
      <w:r>
        <w:t>construction et collecte des sources publiques</w:t>
      </w:r>
    </w:p>
    <w:p>
      <w:pPr>
        <w:pStyle w:val="ListNumber"/>
        <w:spacing w:after="40"/>
      </w:pPr>
      <w:r>
        <w:t>normalisation et protection des données</w:t>
      </w:r>
    </w:p>
    <w:p>
      <w:pPr>
        <w:pStyle w:val="ListNumber"/>
        <w:spacing w:after="40"/>
      </w:pPr>
      <w:r>
        <w:t>analyse LLM</w:t>
      </w:r>
    </w:p>
    <w:p>
      <w:pPr>
        <w:pStyle w:val="ListNumber"/>
        <w:spacing w:after="40"/>
      </w:pPr>
      <w:r>
        <w:t>génération des livrables</w:t>
      </w:r>
    </w:p>
    <w:p>
      <w:pPr>
        <w:pStyle w:val="ListNumber"/>
        <w:spacing w:after="40"/>
      </w:pPr>
      <w:r>
        <w:t>assemblage final et revue manuelle</w:t>
      </w:r>
    </w:p>
    <w:p>
      <w:pPr>
        <w:pStyle w:val="Heading1"/>
        <w:spacing w:before="200" w:after="60"/>
      </w:pPr>
      <w:r>
        <w:t>Étape 1 - Créer le déclencheur</w:t>
      </w:r>
    </w:p>
    <w:p>
      <w:pPr>
        <w:pStyle w:val="Heading2"/>
        <w:spacing w:before="120" w:after="60"/>
      </w:pPr>
      <w:r>
        <w:t>Nœud 1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Manual Trigger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Manual Trigger</w:t>
      </w:r>
    </w:p>
    <w:p>
      <w:pPr>
        <w:spacing w:after="120"/>
      </w:pPr>
      <w:r>
        <w:t>Rôle :</w:t>
      </w:r>
    </w:p>
    <w:p>
      <w:pPr>
        <w:pStyle w:val="ListBullet"/>
        <w:spacing w:after="40"/>
      </w:pPr>
      <w:r>
        <w:t>lancer le workflow à la demande</w:t>
      </w:r>
    </w:p>
    <w:p>
      <w:pPr>
        <w:pStyle w:val="Heading1"/>
        <w:spacing w:before="200" w:after="60"/>
      </w:pPr>
      <w:r>
        <w:t>Étape 2 - Définir la cible commerciale</w:t>
      </w:r>
    </w:p>
    <w:p>
      <w:pPr>
        <w:pStyle w:val="Heading2"/>
        <w:spacing w:before="120" w:after="60"/>
      </w:pPr>
      <w:r>
        <w:t>Nœud 2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Set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Set Target</w:t>
      </w:r>
    </w:p>
    <w:p>
      <w:pPr>
        <w:spacing w:after="120"/>
      </w:pPr>
      <w:r>
        <w:t>Configurer les champs suivants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</w:t>
      </w:r>
    </w:p>
    <w:p>
      <w:pPr>
        <w:spacing w:after="120"/>
      </w:pPr>
      <w:r>
        <w:t>Exemple de valeurs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prospect_id = manual-prospect-001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organization_name = Organisation cible à qualifier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website = https://www.example.org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country = Côte d'Ivoire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organization_type = organisation à qualifier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sector_guess = secteur à confirmer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decision_maker_name = Décideur à confirmer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 xml:space="preserve">custom_page_paths_csv = 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booking_link_45min = {{$env.BOOKING_LINK_45MIN || 'https://calendly.com/your-link'}}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commercial_priority_default = tier1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research_scope = public_web_only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Manual Trigger</w:t>
      </w:r>
      <w:r>
        <w:t xml:space="preserve"> -&gt; </w:t>
      </w:r>
      <w:r>
        <w:rPr>
          <w:rFonts w:ascii="Courier New" w:hAnsi="Courier New"/>
          <w:sz w:val="20"/>
        </w:rPr>
        <w:t>Set Target</w:t>
      </w:r>
    </w:p>
    <w:p>
      <w:pPr>
        <w:pStyle w:val="Heading1"/>
        <w:spacing w:before="200" w:after="60"/>
      </w:pPr>
      <w:r>
        <w:t>Étape 3 - Construire les URLs à scraper</w:t>
      </w:r>
    </w:p>
    <w:p>
      <w:pPr>
        <w:pStyle w:val="Heading2"/>
        <w:spacing w:before="120" w:after="60"/>
      </w:pPr>
      <w:r>
        <w:t>Nœud 3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Build Source URLs</w:t>
      </w:r>
    </w:p>
    <w:p>
      <w:pPr>
        <w:spacing w:after="120"/>
      </w:pPr>
      <w:r>
        <w:t>Coller une logique qui :</w:t>
      </w:r>
    </w:p>
    <w:p>
      <w:pPr>
        <w:pStyle w:val="ListBullet"/>
        <w:spacing w:after="40"/>
      </w:pPr>
      <w:r>
        <w:t xml:space="preserve">prend </w:t>
      </w:r>
      <w:r>
        <w:rPr>
          <w:rFonts w:ascii="Courier New" w:hAnsi="Courier New"/>
          <w:sz w:val="20"/>
        </w:rPr>
        <w:t>website</w:t>
      </w:r>
    </w:p>
    <w:p>
      <w:pPr>
        <w:pStyle w:val="ListBullet"/>
        <w:spacing w:after="40"/>
      </w:pPr>
      <w:r>
        <w:t>enlève le slash final si nécessaire</w:t>
      </w:r>
    </w:p>
    <w:p>
      <w:pPr>
        <w:pStyle w:val="ListBullet"/>
        <w:spacing w:after="40"/>
      </w:pPr>
      <w:r>
        <w:t>fabrique les pages à explorer</w:t>
      </w:r>
    </w:p>
    <w:p>
      <w:pPr>
        <w:spacing w:after="120"/>
      </w:pPr>
      <w:r>
        <w:t>Sorties à produire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source_pages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page_1_url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page_2_url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page_3_url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page_4_url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page_5_url</w:t>
      </w:r>
    </w:p>
    <w:p>
      <w:pPr>
        <w:spacing w:after="120"/>
      </w:pPr>
      <w:r>
        <w:t>Le nœud doit :</w:t>
      </w:r>
    </w:p>
    <w:p>
      <w:pPr>
        <w:pStyle w:val="ListBullet"/>
        <w:spacing w:after="40"/>
      </w:pPr>
      <w:r>
        <w:t xml:space="preserve">prendre les chemins personnalisés si </w:t>
      </w:r>
      <w:r>
        <w:rPr>
          <w:rFonts w:ascii="Courier New" w:hAnsi="Courier New"/>
          <w:sz w:val="20"/>
        </w:rPr>
        <w:t>custom_page_paths_csv</w:t>
      </w:r>
      <w:r>
        <w:t xml:space="preserve"> est renseigné</w:t>
      </w:r>
    </w:p>
    <w:p>
      <w:pPr>
        <w:pStyle w:val="ListBullet"/>
        <w:spacing w:after="40"/>
      </w:pPr>
      <w:r>
        <w:t xml:space="preserve">sinon utiliser des chemins publics fréquents comme </w:t>
      </w:r>
      <w:r>
        <w:rPr>
          <w:rFonts w:ascii="Courier New" w:hAnsi="Courier New"/>
          <w:sz w:val="20"/>
        </w:rPr>
        <w:t>/</w:t>
      </w:r>
      <w:r>
        <w:t xml:space="preserve">, </w:t>
      </w:r>
      <w:r>
        <w:rPr>
          <w:rFonts w:ascii="Courier New" w:hAnsi="Courier New"/>
          <w:sz w:val="20"/>
        </w:rPr>
        <w:t>/services/</w:t>
      </w:r>
      <w:r>
        <w:t xml:space="preserve">, </w:t>
      </w:r>
      <w:r>
        <w:rPr>
          <w:rFonts w:ascii="Courier New" w:hAnsi="Courier New"/>
          <w:sz w:val="20"/>
        </w:rPr>
        <w:t>/solutions/</w:t>
      </w:r>
      <w:r>
        <w:t xml:space="preserve">, </w:t>
      </w:r>
      <w:r>
        <w:rPr>
          <w:rFonts w:ascii="Courier New" w:hAnsi="Courier New"/>
          <w:sz w:val="20"/>
        </w:rPr>
        <w:t>/contact/</w:t>
      </w:r>
      <w:r>
        <w:t xml:space="preserve">, </w:t>
      </w:r>
      <w:r>
        <w:rPr>
          <w:rFonts w:ascii="Courier New" w:hAnsi="Courier New"/>
          <w:sz w:val="20"/>
        </w:rPr>
        <w:t>/blog/</w:t>
      </w:r>
      <w:r>
        <w:t xml:space="preserve">, </w:t>
      </w:r>
      <w:r>
        <w:rPr>
          <w:rFonts w:ascii="Courier New" w:hAnsi="Courier New"/>
          <w:sz w:val="20"/>
        </w:rPr>
        <w:t>/products/</w:t>
      </w:r>
      <w:r>
        <w:t xml:space="preserve">, </w:t>
      </w:r>
      <w:r>
        <w:rPr>
          <w:rFonts w:ascii="Courier New" w:hAnsi="Courier New"/>
          <w:sz w:val="20"/>
        </w:rPr>
        <w:t>/careers/</w:t>
      </w:r>
    </w:p>
    <w:p>
      <w:pPr>
        <w:pStyle w:val="ListBullet"/>
        <w:spacing w:after="40"/>
      </w:pPr>
      <w:r>
        <w:t xml:space="preserve">garder les pages de présentation non standard via </w:t>
      </w:r>
      <w:r>
        <w:rPr>
          <w:rFonts w:ascii="Courier New" w:hAnsi="Courier New"/>
          <w:sz w:val="20"/>
        </w:rPr>
        <w:t>custom_page_paths_csv</w:t>
      </w:r>
      <w:r>
        <w:t xml:space="preserve"> si le site utilise un slug spécifique comme </w:t>
      </w:r>
      <w:r>
        <w:rPr>
          <w:rFonts w:ascii="Courier New" w:hAnsi="Courier New"/>
          <w:sz w:val="20"/>
        </w:rPr>
        <w:t>/la-smb/</w:t>
      </w:r>
    </w:p>
    <w:p>
      <w:pPr>
        <w:pStyle w:val="ListBullet"/>
        <w:spacing w:after="40"/>
      </w:pPr>
      <w:r>
        <w:t>limiter la première passe à 5 pages pour garder un workflow stable et peu coûteux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Set Target</w:t>
      </w:r>
      <w:r>
        <w:t xml:space="preserve"> -&gt; </w:t>
      </w:r>
      <w:r>
        <w:rPr>
          <w:rFonts w:ascii="Courier New" w:hAnsi="Courier New"/>
          <w:sz w:val="20"/>
        </w:rPr>
        <w:t>Build Source URLs</w:t>
      </w:r>
    </w:p>
    <w:p>
      <w:pPr>
        <w:pStyle w:val="Heading1"/>
        <w:spacing w:before="200" w:after="60"/>
      </w:pPr>
      <w:r>
        <w:t>Étape 4 - Créer les requêtes HTTP de collecte</w:t>
      </w:r>
    </w:p>
    <w:p>
      <w:pPr>
        <w:spacing w:after="120"/>
      </w:pPr>
      <w:r>
        <w:t xml:space="preserve">Créer 5 nœuds </w:t>
      </w:r>
      <w:r>
        <w:rPr>
          <w:rFonts w:ascii="Courier New" w:hAnsi="Courier New"/>
          <w:sz w:val="20"/>
        </w:rPr>
        <w:t>HTTP Request</w:t>
      </w:r>
      <w:r>
        <w:t>.</w:t>
      </w:r>
    </w:p>
    <w:p>
      <w:pPr>
        <w:pStyle w:val="Heading2"/>
        <w:spacing w:before="120" w:after="60"/>
      </w:pPr>
      <w:r>
        <w:t>Nœud 4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Fetch Public Page 1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{{$('Build Source URLs').first().json.page_1_url}}</w:t>
      </w:r>
    </w:p>
    <w:p>
      <w:pPr>
        <w:pStyle w:val="Heading2"/>
        <w:spacing w:before="120" w:after="60"/>
      </w:pPr>
      <w:r>
        <w:t>Nœud 5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Fetch Public Page 2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{{$('Build Source URLs').first().json.page_2_url}}</w:t>
      </w:r>
    </w:p>
    <w:p>
      <w:pPr>
        <w:pStyle w:val="Heading2"/>
        <w:spacing w:before="120" w:after="60"/>
      </w:pPr>
      <w:r>
        <w:t>Nœud 6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Fetch Public Page 3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{{$('Build Source URLs').first().json.page_3_url}}</w:t>
      </w:r>
    </w:p>
    <w:p>
      <w:pPr>
        <w:pStyle w:val="Heading2"/>
        <w:spacing w:before="120" w:after="60"/>
      </w:pPr>
      <w:r>
        <w:t>Nœud 7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Fetch Public Page 4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{{$('Build Source URLs').first().json.page_4_url}}</w:t>
      </w:r>
    </w:p>
    <w:p>
      <w:pPr>
        <w:pStyle w:val="Heading2"/>
        <w:spacing w:before="120" w:after="60"/>
      </w:pPr>
      <w:r>
        <w:t>Nœud 8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Fetch Public Page 5</w:t>
      </w:r>
    </w:p>
    <w:p>
      <w:pPr>
        <w:pStyle w:val="ListBullet"/>
        <w:spacing w:after="40"/>
      </w:pPr>
      <w:r>
        <w:t xml:space="preserve">URL : </w:t>
      </w:r>
      <w:r>
        <w:rPr>
          <w:rFonts w:ascii="Courier New" w:hAnsi="Courier New"/>
          <w:sz w:val="20"/>
        </w:rPr>
        <w:t>{{$('Build Source URLs').first().json.page_5_url}}</w:t>
      </w:r>
    </w:p>
    <w:p>
      <w:pPr>
        <w:spacing w:after="120"/>
      </w:pPr>
      <w:r>
        <w:t>Recommandations de configuration :</w:t>
      </w:r>
    </w:p>
    <w:p>
      <w:pPr>
        <w:pStyle w:val="ListBullet"/>
        <w:spacing w:after="40"/>
      </w:pPr>
      <w:r>
        <w:t xml:space="preserve">méthode </w:t>
      </w:r>
      <w:r>
        <w:rPr>
          <w:rFonts w:ascii="Courier New" w:hAnsi="Courier New"/>
          <w:sz w:val="20"/>
        </w:rPr>
        <w:t>GET</w:t>
      </w:r>
    </w:p>
    <w:p>
      <w:pPr>
        <w:pStyle w:val="ListBullet"/>
        <w:spacing w:after="40"/>
      </w:pPr>
      <w:r>
        <w:t xml:space="preserve">activer </w:t>
      </w:r>
      <w:r>
        <w:rPr>
          <w:rFonts w:ascii="Courier New" w:hAnsi="Courier New"/>
          <w:sz w:val="20"/>
        </w:rPr>
        <w:t>On Error -&gt; Continue (regular output)</w:t>
      </w:r>
      <w:r>
        <w:t xml:space="preserve"> sur les 5 nœuds HTTP pour qu'une boucle de redirection sur une page ne bloque pas tout le workflow</w:t>
      </w:r>
    </w:p>
    <w:p>
      <w:pPr>
        <w:pStyle w:val="ListBullet"/>
        <w:spacing w:after="40"/>
      </w:pPr>
      <w:r>
        <w:t>format de réponse texte ou HTML</w:t>
      </w:r>
    </w:p>
    <w:p>
      <w:pPr>
        <w:pStyle w:val="ListBullet"/>
        <w:spacing w:after="40"/>
      </w:pPr>
      <w:r>
        <w:t>tolérance raisonnable aux erreurs si une page renvoie un contenu partiel</w:t>
      </w:r>
    </w:p>
    <w:p>
      <w:pPr>
        <w:spacing w:after="120"/>
      </w:pPr>
      <w:r>
        <w:t>Chaînage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Build Source URLs</w:t>
      </w:r>
      <w:r>
        <w:t xml:space="preserve"> -&gt; </w:t>
      </w:r>
      <w:r>
        <w:rPr>
          <w:rFonts w:ascii="Courier New" w:hAnsi="Courier New"/>
          <w:sz w:val="20"/>
        </w:rPr>
        <w:t>Fetch Public Page 1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Public Page 1</w:t>
      </w:r>
      <w:r>
        <w:t xml:space="preserve"> -&gt; </w:t>
      </w:r>
      <w:r>
        <w:rPr>
          <w:rFonts w:ascii="Courier New" w:hAnsi="Courier New"/>
          <w:sz w:val="20"/>
        </w:rPr>
        <w:t>Fetch Public Page 2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Public Page 2</w:t>
      </w:r>
      <w:r>
        <w:t xml:space="preserve"> -&gt; </w:t>
      </w:r>
      <w:r>
        <w:rPr>
          <w:rFonts w:ascii="Courier New" w:hAnsi="Courier New"/>
          <w:sz w:val="20"/>
        </w:rPr>
        <w:t>Fetch Public Page 3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Public Page 3</w:t>
      </w:r>
      <w:r>
        <w:t xml:space="preserve"> -&gt; </w:t>
      </w:r>
      <w:r>
        <w:rPr>
          <w:rFonts w:ascii="Courier New" w:hAnsi="Courier New"/>
          <w:sz w:val="20"/>
        </w:rPr>
        <w:t>Fetch Public Page 4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Public Page 4</w:t>
      </w:r>
      <w:r>
        <w:t xml:space="preserve"> -&gt; </w:t>
      </w:r>
      <w:r>
        <w:rPr>
          <w:rFonts w:ascii="Courier New" w:hAnsi="Courier New"/>
          <w:sz w:val="20"/>
        </w:rPr>
        <w:t>Fetch Public Page 5</w:t>
      </w:r>
    </w:p>
    <w:p>
      <w:pPr>
        <w:pStyle w:val="Heading1"/>
        <w:spacing w:before="200" w:after="60"/>
      </w:pPr>
      <w:r>
        <w:t>Étape 5 - Normaliser les signaux publics</w:t>
      </w:r>
    </w:p>
    <w:p>
      <w:pPr>
        <w:pStyle w:val="Heading2"/>
        <w:spacing w:before="120" w:after="60"/>
      </w:pPr>
      <w:r>
        <w:t>Nœud 9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Normalize Public Signals</w:t>
      </w:r>
    </w:p>
    <w:p>
      <w:pPr>
        <w:spacing w:after="120"/>
      </w:pPr>
      <w:r>
        <w:t>Ce nœud doit :</w:t>
      </w:r>
    </w:p>
    <w:p>
      <w:pPr>
        <w:pStyle w:val="ListBullet"/>
        <w:spacing w:after="40"/>
      </w:pPr>
      <w:r>
        <w:t>relire les 5 pages publiques récupérées</w:t>
      </w:r>
    </w:p>
    <w:p>
      <w:pPr>
        <w:pStyle w:val="ListBullet"/>
        <w:spacing w:after="40"/>
      </w:pPr>
      <w:r>
        <w:t>extraire leur contenu textuel utile</w:t>
      </w:r>
    </w:p>
    <w:p>
      <w:pPr>
        <w:pStyle w:val="ListBullet"/>
        <w:spacing w:after="40"/>
      </w:pPr>
      <w:r>
        <w:t>rattacher une clé à chaque page</w:t>
      </w:r>
    </w:p>
    <w:p>
      <w:pPr>
        <w:pStyle w:val="ListBullet"/>
        <w:spacing w:after="40"/>
      </w:pPr>
      <w:r>
        <w:t>consolider un grand texte public synthétique</w:t>
      </w:r>
    </w:p>
    <w:p>
      <w:pPr>
        <w:pStyle w:val="ListBullet"/>
        <w:spacing w:after="40"/>
      </w:pPr>
      <w:r>
        <w:t>produire des signaux métier exploitables</w:t>
      </w:r>
    </w:p>
    <w:p>
      <w:pPr>
        <w:spacing w:after="120"/>
      </w:pPr>
      <w:r>
        <w:t>Sorties à viser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page_texts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public_text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roi_clues</w:t>
      </w:r>
    </w:p>
    <w:p>
      <w:pPr>
        <w:pStyle w:val="ListBullet"/>
        <w:spacing w:after="40"/>
      </w:pPr>
      <w:r>
        <w:t>métadonnées prospect conservées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Fetch Public Page 5</w:t>
      </w:r>
      <w:r>
        <w:t xml:space="preserve"> -&gt; </w:t>
      </w:r>
      <w:r>
        <w:rPr>
          <w:rFonts w:ascii="Courier New" w:hAnsi="Courier New"/>
          <w:sz w:val="20"/>
        </w:rPr>
        <w:t>Normalize Public Signals</w:t>
      </w:r>
    </w:p>
    <w:p>
      <w:pPr>
        <w:pStyle w:val="Heading1"/>
        <w:spacing w:before="200" w:after="60"/>
      </w:pPr>
      <w:r>
        <w:t>Étape 6 - Ajouter la protection RGPD avant LLM</w:t>
      </w:r>
    </w:p>
    <w:p>
      <w:pPr>
        <w:pStyle w:val="Heading2"/>
        <w:spacing w:before="120" w:after="60"/>
      </w:pPr>
      <w:r>
        <w:t>Nœud 10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Sanitize Prospect Data For LLM</w:t>
      </w:r>
    </w:p>
    <w:p>
      <w:pPr>
        <w:spacing w:after="120"/>
      </w:pPr>
      <w:r>
        <w:t>C’est l’étape critique du workflow.</w:t>
      </w:r>
    </w:p>
    <w:p>
      <w:pPr>
        <w:spacing w:after="120"/>
      </w:pPr>
      <w:r>
        <w:t>Le code doit :</w:t>
      </w:r>
    </w:p>
    <w:p>
      <w:pPr>
        <w:pStyle w:val="ListBullet"/>
        <w:spacing w:after="40"/>
      </w:pPr>
      <w:r>
        <w:t>retirer les URLs du texte</w:t>
      </w:r>
    </w:p>
    <w:p>
      <w:pPr>
        <w:pStyle w:val="ListBullet"/>
        <w:spacing w:after="40"/>
      </w:pPr>
      <w:r>
        <w:t>retirer les e-mails</w:t>
      </w:r>
    </w:p>
    <w:p>
      <w:pPr>
        <w:pStyle w:val="ListBullet"/>
        <w:spacing w:after="40"/>
      </w:pPr>
      <w:r>
        <w:t>retirer les numéros de téléphone</w:t>
      </w:r>
    </w:p>
    <w:p>
      <w:pPr>
        <w:pStyle w:val="ListBullet"/>
        <w:spacing w:after="40"/>
      </w:pPr>
      <w:r>
        <w:t xml:space="preserve">pseudonymiser le nom de l’organisation en </w:t>
      </w:r>
      <w:r>
        <w:rPr>
          <w:rFonts w:ascii="Courier New" w:hAnsi="Courier New"/>
          <w:sz w:val="20"/>
        </w:rPr>
        <w:t>ORG_TARGET</w:t>
      </w:r>
    </w:p>
    <w:p>
      <w:pPr>
        <w:pStyle w:val="ListBullet"/>
        <w:spacing w:after="40"/>
      </w:pPr>
      <w:r>
        <w:t xml:space="preserve">pseudonymiser le décideur en </w:t>
      </w:r>
      <w:r>
        <w:rPr>
          <w:rFonts w:ascii="Courier New" w:hAnsi="Courier New"/>
          <w:sz w:val="20"/>
        </w:rPr>
        <w:t>DECISION_MAKER_TARGET</w:t>
      </w:r>
    </w:p>
    <w:p>
      <w:pPr>
        <w:pStyle w:val="ListBullet"/>
        <w:spacing w:after="40"/>
      </w:pPr>
      <w:r>
        <w:t>créer un extrait assaini du texte public</w:t>
      </w:r>
    </w:p>
    <w:p>
      <w:pPr>
        <w:pStyle w:val="ListBullet"/>
        <w:spacing w:after="40"/>
      </w:pPr>
      <w:r>
        <w:t>produire une allowlist</w:t>
      </w:r>
    </w:p>
    <w:p>
      <w:pPr>
        <w:pStyle w:val="ListBullet"/>
        <w:spacing w:after="40"/>
      </w:pPr>
      <w:r>
        <w:t>produire une blocked list</w:t>
      </w:r>
    </w:p>
    <w:p>
      <w:pPr>
        <w:spacing w:after="120"/>
      </w:pPr>
      <w:r>
        <w:t>Sorties à créer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public_text_sanitized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llm_allowed_payload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llm_generation_payload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llm_redaction_summary</w:t>
      </w:r>
    </w:p>
    <w:p>
      <w:pPr>
        <w:spacing w:after="120"/>
      </w:pPr>
      <w:r>
        <w:t>Bonnes pratiques à respecter :</w:t>
      </w:r>
    </w:p>
    <w:p>
      <w:pPr>
        <w:pStyle w:val="ListBullet"/>
        <w:spacing w:after="40"/>
      </w:pPr>
      <w:r>
        <w:t xml:space="preserve">politique </w:t>
      </w:r>
      <w:r>
        <w:rPr>
          <w:rFonts w:ascii="Courier New" w:hAnsi="Courier New"/>
          <w:sz w:val="20"/>
        </w:rPr>
        <w:t>deny-by-default</w:t>
      </w:r>
    </w:p>
    <w:p>
      <w:pPr>
        <w:pStyle w:val="ListBullet"/>
        <w:spacing w:after="40"/>
      </w:pPr>
      <w:r>
        <w:t xml:space="preserve">ne jamais transmettre </w:t>
      </w:r>
      <w:r>
        <w:rPr>
          <w:rFonts w:ascii="Courier New" w:hAnsi="Courier New"/>
          <w:sz w:val="20"/>
        </w:rPr>
        <w:t>organization_name</w:t>
      </w:r>
      <w:r>
        <w:t xml:space="preserve">, </w:t>
      </w:r>
      <w:r>
        <w:rPr>
          <w:rFonts w:ascii="Courier New" w:hAnsi="Courier New"/>
          <w:sz w:val="20"/>
        </w:rPr>
        <w:t>website</w:t>
      </w:r>
      <w:r>
        <w:t xml:space="preserve">, </w:t>
      </w:r>
      <w:r>
        <w:rPr>
          <w:rFonts w:ascii="Courier New" w:hAnsi="Courier New"/>
          <w:sz w:val="20"/>
        </w:rPr>
        <w:t>decision_maker_name</w:t>
      </w:r>
      <w:r>
        <w:t xml:space="preserve"> ni </w:t>
      </w:r>
      <w:r>
        <w:rPr>
          <w:rFonts w:ascii="Courier New" w:hAnsi="Courier New"/>
          <w:sz w:val="20"/>
        </w:rPr>
        <w:t>public_text</w:t>
      </w:r>
      <w:r>
        <w:t xml:space="preserve"> brut au LLM</w:t>
      </w:r>
    </w:p>
    <w:p>
      <w:pPr>
        <w:pStyle w:val="ListBullet"/>
        <w:spacing w:after="40"/>
      </w:pPr>
      <w:r>
        <w:t>limiter le texte envoyé à un extrait utile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Normalize Public Signals</w:t>
      </w:r>
      <w:r>
        <w:t xml:space="preserve"> -&gt; </w:t>
      </w:r>
      <w:r>
        <w:rPr>
          <w:rFonts w:ascii="Courier New" w:hAnsi="Courier New"/>
          <w:sz w:val="20"/>
        </w:rPr>
        <w:t>Sanitize Prospect Data For LLM</w:t>
      </w:r>
    </w:p>
    <w:p>
      <w:pPr>
        <w:pStyle w:val="Heading1"/>
        <w:spacing w:before="200" w:after="60"/>
      </w:pPr>
      <w:r>
        <w:t>Étape 7 - Créer les 3 appels d’analyse OpenAI</w:t>
      </w:r>
    </w:p>
    <w:p>
      <w:pPr>
        <w:spacing w:after="120"/>
      </w:pPr>
      <w:r>
        <w:t xml:space="preserve">Créer 3 nœuds </w:t>
      </w:r>
      <w:r>
        <w:rPr>
          <w:rFonts w:ascii="Courier New" w:hAnsi="Courier New"/>
          <w:sz w:val="20"/>
        </w:rPr>
        <w:t>HTTP Request</w:t>
      </w:r>
      <w:r>
        <w:t xml:space="preserve"> vers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https://api.openai.com/v1/chat/completions</w:t>
      </w:r>
    </w:p>
    <w:p>
      <w:pPr>
        <w:spacing w:after="120"/>
      </w:pPr>
      <w:r>
        <w:t>Configuration commune :</w:t>
      </w:r>
    </w:p>
    <w:p>
      <w:pPr>
        <w:pStyle w:val="ListBullet"/>
        <w:spacing w:after="40"/>
      </w:pPr>
      <w:r>
        <w:t xml:space="preserve">méthode </w:t>
      </w:r>
      <w:r>
        <w:rPr>
          <w:rFonts w:ascii="Courier New" w:hAnsi="Courier New"/>
          <w:sz w:val="20"/>
        </w:rPr>
        <w:t>POST</w:t>
      </w:r>
    </w:p>
    <w:p>
      <w:pPr>
        <w:pStyle w:val="ListBullet"/>
        <w:spacing w:after="40"/>
      </w:pPr>
      <w:r>
        <w:t>headers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Authorization = Bearer {{$env.OPENAI_API_KEY}}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Content-Type = application/json</w:t>
      </w:r>
    </w:p>
    <w:p>
      <w:pPr>
        <w:pStyle w:val="ListBullet"/>
        <w:spacing w:after="40"/>
      </w:pPr>
      <w:r>
        <w:t>modèle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{{$env.OPENAI_MODEL || 'gpt-4.1-mini'}}</w:t>
      </w:r>
    </w:p>
    <w:p>
      <w:pPr>
        <w:pStyle w:val="Heading2"/>
        <w:spacing w:before="120" w:after="60"/>
      </w:pPr>
      <w:r>
        <w:t>Nœud 11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Call OpenAI Pre-Audit</w:t>
      </w:r>
    </w:p>
    <w:p>
      <w:pPr>
        <w:spacing w:after="120"/>
      </w:pPr>
      <w:r>
        <w:t xml:space="preserve">Utiliser </w:t>
      </w:r>
      <w:r>
        <w:rPr>
          <w:rFonts w:ascii="Courier New" w:hAnsi="Courier New"/>
          <w:sz w:val="20"/>
        </w:rPr>
        <w:t>llm_allowed_payload</w:t>
      </w:r>
      <w:r>
        <w:t xml:space="preserve"> dans le message utilisateur.</w:t>
      </w:r>
    </w:p>
    <w:p>
      <w:pPr>
        <w:spacing w:after="120"/>
      </w:pPr>
      <w:r>
        <w:t>Sortie attendue :</w:t>
      </w:r>
    </w:p>
    <w:p>
      <w:pPr>
        <w:pStyle w:val="ListBullet"/>
        <w:spacing w:after="40"/>
      </w:pPr>
      <w:r>
        <w:t>résumé prospect</w:t>
      </w:r>
    </w:p>
    <w:p>
      <w:pPr>
        <w:pStyle w:val="ListBullet"/>
        <w:spacing w:after="40"/>
      </w:pPr>
      <w:r>
        <w:t>forces probables</w:t>
      </w:r>
    </w:p>
    <w:p>
      <w:pPr>
        <w:pStyle w:val="ListBullet"/>
        <w:spacing w:after="40"/>
      </w:pPr>
      <w:r>
        <w:t>faiblesses probables</w:t>
      </w:r>
    </w:p>
    <w:p>
      <w:pPr>
        <w:pStyle w:val="ListBullet"/>
        <w:spacing w:after="40"/>
      </w:pPr>
      <w:r>
        <w:t>besoins probables</w:t>
      </w:r>
    </w:p>
    <w:p>
      <w:pPr>
        <w:pStyle w:val="ListBullet"/>
        <w:spacing w:after="40"/>
      </w:pPr>
      <w:r>
        <w:t>niche d’entrée</w:t>
      </w:r>
    </w:p>
    <w:p>
      <w:pPr>
        <w:pStyle w:val="ListBullet"/>
        <w:spacing w:after="40"/>
      </w:pPr>
      <w:r>
        <w:t>score de confiance</w:t>
      </w:r>
    </w:p>
    <w:p>
      <w:pPr>
        <w:pStyle w:val="Heading2"/>
        <w:spacing w:before="120" w:after="60"/>
      </w:pPr>
      <w:r>
        <w:t>Nœud 12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Call OpenAI Problems Solutions</w:t>
      </w:r>
    </w:p>
    <w:p>
      <w:pPr>
        <w:spacing w:after="120"/>
      </w:pPr>
      <w:r>
        <w:t xml:space="preserve">Utiliser </w:t>
      </w:r>
      <w:r>
        <w:rPr>
          <w:rFonts w:ascii="Courier New" w:hAnsi="Courier New"/>
          <w:sz w:val="20"/>
        </w:rPr>
        <w:t>llm_allowed_payload</w:t>
      </w:r>
      <w:r>
        <w:t>.</w:t>
      </w:r>
    </w:p>
    <w:p>
      <w:pPr>
        <w:spacing w:after="120"/>
      </w:pPr>
      <w:r>
        <w:t>Sortie attendue :</w:t>
      </w:r>
    </w:p>
    <w:p>
      <w:pPr>
        <w:pStyle w:val="ListBullet"/>
        <w:spacing w:after="40"/>
      </w:pPr>
      <w:r>
        <w:t>problèmes probables</w:t>
      </w:r>
    </w:p>
    <w:p>
      <w:pPr>
        <w:pStyle w:val="ListBullet"/>
        <w:spacing w:after="40"/>
      </w:pPr>
      <w:r>
        <w:t>quick wins</w:t>
      </w:r>
    </w:p>
    <w:p>
      <w:pPr>
        <w:pStyle w:val="ListBullet"/>
        <w:spacing w:after="40"/>
      </w:pPr>
      <w:r>
        <w:t>offre recommandée</w:t>
      </w:r>
    </w:p>
    <w:p>
      <w:pPr>
        <w:pStyle w:val="ListBullet"/>
        <w:spacing w:after="40"/>
      </w:pPr>
      <w:r>
        <w:t>séquence d’offre</w:t>
      </w:r>
    </w:p>
    <w:p>
      <w:pPr>
        <w:pStyle w:val="ListBullet"/>
        <w:spacing w:after="40"/>
      </w:pPr>
      <w:r>
        <w:t>bundle de formation</w:t>
      </w:r>
    </w:p>
    <w:p>
      <w:pPr>
        <w:pStyle w:val="ListBullet"/>
        <w:spacing w:after="40"/>
      </w:pPr>
      <w:r>
        <w:t>cas d’usage recommandé</w:t>
      </w:r>
    </w:p>
    <w:p>
      <w:pPr>
        <w:pStyle w:val="ListBullet"/>
        <w:spacing w:after="40"/>
      </w:pPr>
      <w:r>
        <w:t>meilleur cas d’usage commercial</w:t>
      </w:r>
    </w:p>
    <w:p>
      <w:pPr>
        <w:pStyle w:val="ListBullet"/>
        <w:spacing w:after="40"/>
      </w:pPr>
      <w:r>
        <w:t>niveau de priorité commerciale</w:t>
      </w:r>
    </w:p>
    <w:p>
      <w:pPr>
        <w:pStyle w:val="ListBullet"/>
        <w:spacing w:after="40"/>
      </w:pPr>
      <w:r>
        <w:t>angle de rendez-vous</w:t>
      </w:r>
    </w:p>
    <w:p>
      <w:pPr>
        <w:pStyle w:val="Heading2"/>
        <w:spacing w:before="120" w:after="60"/>
      </w:pPr>
      <w:r>
        <w:t>Nœud 13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Call OpenAI ROI</w:t>
      </w:r>
    </w:p>
    <w:p>
      <w:pPr>
        <w:spacing w:after="120"/>
      </w:pPr>
      <w:r>
        <w:t xml:space="preserve">Utiliser </w:t>
      </w:r>
      <w:r>
        <w:rPr>
          <w:rFonts w:ascii="Courier New" w:hAnsi="Courier New"/>
          <w:sz w:val="20"/>
        </w:rPr>
        <w:t>llm_allowed_payload</w:t>
      </w:r>
      <w:r>
        <w:t>.</w:t>
      </w:r>
    </w:p>
    <w:p>
      <w:pPr>
        <w:spacing w:after="120"/>
      </w:pPr>
      <w:r>
        <w:t>Sortie attendue :</w:t>
      </w:r>
    </w:p>
    <w:p>
      <w:pPr>
        <w:pStyle w:val="ListBullet"/>
        <w:spacing w:after="40"/>
      </w:pPr>
      <w:r>
        <w:t>hypothèse de ROI</w:t>
      </w:r>
    </w:p>
    <w:p>
      <w:pPr>
        <w:pStyle w:val="ListBullet"/>
        <w:spacing w:after="40"/>
      </w:pPr>
      <w:r>
        <w:t>gains de temps attendus</w:t>
      </w:r>
    </w:p>
    <w:p>
      <w:pPr>
        <w:pStyle w:val="ListBullet"/>
        <w:spacing w:after="40"/>
      </w:pPr>
      <w:r>
        <w:t>améliorations de service attendues</w:t>
      </w:r>
    </w:p>
    <w:p>
      <w:pPr>
        <w:pStyle w:val="ListBullet"/>
        <w:spacing w:after="40"/>
      </w:pPr>
      <w:r>
        <w:t>quick wins attendus</w:t>
      </w:r>
    </w:p>
    <w:p>
      <w:pPr>
        <w:pStyle w:val="ListBullet"/>
        <w:spacing w:after="40"/>
      </w:pPr>
      <w:r>
        <w:t>chronologie de déploiement</w:t>
      </w:r>
    </w:p>
    <w:p>
      <w:pPr>
        <w:spacing w:after="120"/>
      </w:pPr>
      <w:r>
        <w:t>Connexions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Sanitize Prospect Data For LLM</w:t>
      </w:r>
      <w:r>
        <w:t xml:space="preserve"> -&gt; </w:t>
      </w:r>
      <w:r>
        <w:rPr>
          <w:rFonts w:ascii="Courier New" w:hAnsi="Courier New"/>
          <w:sz w:val="20"/>
        </w:rPr>
        <w:t>Call OpenAI Pre-Audit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Sanitize Prospect Data For LLM</w:t>
      </w:r>
      <w:r>
        <w:t xml:space="preserve"> -&gt; </w:t>
      </w:r>
      <w:r>
        <w:rPr>
          <w:rFonts w:ascii="Courier New" w:hAnsi="Courier New"/>
          <w:sz w:val="20"/>
        </w:rPr>
        <w:t>Call OpenAI Problems Solutions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Sanitize Prospect Data For LLM</w:t>
      </w:r>
      <w:r>
        <w:t xml:space="preserve"> -&gt; </w:t>
      </w:r>
      <w:r>
        <w:rPr>
          <w:rFonts w:ascii="Courier New" w:hAnsi="Courier New"/>
          <w:sz w:val="20"/>
        </w:rPr>
        <w:t>Call OpenAI ROI</w:t>
      </w:r>
    </w:p>
    <w:p>
      <w:pPr>
        <w:pStyle w:val="Heading1"/>
        <w:spacing w:before="200" w:after="60"/>
      </w:pPr>
      <w:r>
        <w:t>Étape 8 - Consolider le contexte prospect</w:t>
      </w:r>
    </w:p>
    <w:p>
      <w:pPr>
        <w:pStyle w:val="Heading2"/>
        <w:spacing w:before="120" w:after="60"/>
      </w:pPr>
      <w:r>
        <w:t>Nœud 14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Assemble Prospect Context</w:t>
      </w:r>
    </w:p>
    <w:p>
      <w:pPr>
        <w:spacing w:after="120"/>
      </w:pPr>
      <w:r>
        <w:t>Ce nœud doit :</w:t>
      </w:r>
    </w:p>
    <w:p>
      <w:pPr>
        <w:pStyle w:val="ListBullet"/>
        <w:spacing w:after="40"/>
      </w:pPr>
      <w:r>
        <w:t>parser les 3 réponses OpenAI</w:t>
      </w:r>
    </w:p>
    <w:p>
      <w:pPr>
        <w:pStyle w:val="ListBullet"/>
        <w:spacing w:after="40"/>
      </w:pPr>
      <w:r>
        <w:t>fusionner ces résultats avec les signaux publics normalisés</w:t>
      </w:r>
    </w:p>
    <w:p>
      <w:pPr>
        <w:pStyle w:val="ListBullet"/>
        <w:spacing w:after="40"/>
      </w:pPr>
      <w:r>
        <w:t>produire un contexte unique pour la génération documentaire</w:t>
      </w:r>
    </w:p>
    <w:p>
      <w:pPr>
        <w:spacing w:after="120"/>
      </w:pPr>
      <w:r>
        <w:t>Sorties utiles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entry_point_niche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recommended_offer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offer_sequence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best_selling_use_case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commercial_priority_tier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roi_hypothesis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Call OpenAI Pre-Audit</w:t>
      </w:r>
      <w:r>
        <w:t xml:space="preserve"> -&gt; </w:t>
      </w:r>
      <w:r>
        <w:rPr>
          <w:rFonts w:ascii="Courier New" w:hAnsi="Courier New"/>
          <w:sz w:val="20"/>
        </w:rPr>
        <w:t>Assemble Prospect Context</w:t>
      </w:r>
    </w:p>
    <w:p>
      <w:pPr>
        <w:spacing w:after="120"/>
      </w:pPr>
      <w:r>
        <w:t xml:space="preserve">Le code peut relire les autres nœuds OpenAI avec </w:t>
      </w:r>
      <w:r>
        <w:rPr>
          <w:rFonts w:ascii="Courier New" w:hAnsi="Courier New"/>
          <w:sz w:val="20"/>
        </w:rPr>
        <w:t>$('Node Name').first().json</w:t>
      </w:r>
      <w:r>
        <w:t>.</w:t>
      </w:r>
    </w:p>
    <w:p>
      <w:pPr>
        <w:pStyle w:val="Heading1"/>
        <w:spacing w:before="200" w:after="60"/>
      </w:pPr>
      <w:r>
        <w:t>Étape 9 - Générer les 4 livrables</w:t>
      </w:r>
    </w:p>
    <w:p>
      <w:pPr>
        <w:spacing w:after="120"/>
      </w:pPr>
      <w:r>
        <w:t xml:space="preserve">Créer 4 nœuds </w:t>
      </w:r>
      <w:r>
        <w:rPr>
          <w:rFonts w:ascii="Courier New" w:hAnsi="Courier New"/>
          <w:sz w:val="20"/>
        </w:rPr>
        <w:t>HTTP Request</w:t>
      </w:r>
      <w:r>
        <w:t xml:space="preserve"> OpenAI supplémentaires.</w:t>
      </w:r>
    </w:p>
    <w:p>
      <w:pPr>
        <w:spacing w:after="120"/>
      </w:pPr>
      <w:r>
        <w:t>Ils utilisent tous :</w:t>
      </w:r>
    </w:p>
    <w:p>
      <w:pPr>
        <w:pStyle w:val="ListBullet"/>
        <w:spacing w:after="40"/>
      </w:pPr>
      <w:r>
        <w:t>le modèle OpenAI</w:t>
      </w:r>
    </w:p>
    <w:p>
      <w:pPr>
        <w:pStyle w:val="ListBullet"/>
        <w:spacing w:after="40"/>
      </w:pPr>
      <w:r>
        <w:t>les headers API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llm_generation_payload</w:t>
      </w:r>
    </w:p>
    <w:p>
      <w:pPr>
        <w:pStyle w:val="Heading2"/>
        <w:spacing w:before="120" w:after="60"/>
      </w:pPr>
      <w:r>
        <w:t>Nœud 15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Generate Executive Letter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produire un courrier professionnel en français standard avec accents</w:t>
      </w:r>
    </w:p>
    <w:p>
      <w:pPr>
        <w:pStyle w:val="ListBullet"/>
        <w:spacing w:after="40"/>
      </w:pPr>
      <w:r>
        <w:t>mettre en avant l’audit gratuit</w:t>
      </w:r>
    </w:p>
    <w:p>
      <w:pPr>
        <w:pStyle w:val="ListBullet"/>
        <w:spacing w:after="40"/>
      </w:pPr>
      <w:r>
        <w:t>proposer un rendez-vous gratuit de 45 minutes</w:t>
      </w:r>
    </w:p>
    <w:p>
      <w:pPr>
        <w:pStyle w:val="ListBullet"/>
        <w:spacing w:after="40"/>
      </w:pPr>
      <w:r>
        <w:t>insister sur le service derrière l’IA</w:t>
      </w:r>
    </w:p>
    <w:p>
      <w:pPr>
        <w:pStyle w:val="Heading2"/>
        <w:spacing w:before="120" w:after="60"/>
      </w:pPr>
      <w:r>
        <w:t>Nœud 16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Generate Tailored Catalogue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produire un mini-catalogue ciblé</w:t>
      </w:r>
    </w:p>
    <w:p>
      <w:pPr>
        <w:spacing w:after="120"/>
      </w:pPr>
      <w:r>
        <w:t>Sections attendues :</w:t>
      </w:r>
    </w:p>
    <w:p>
      <w:pPr>
        <w:pStyle w:val="ListBullet"/>
        <w:spacing w:after="40"/>
      </w:pPr>
      <w:r>
        <w:t>message central</w:t>
      </w:r>
    </w:p>
    <w:p>
      <w:pPr>
        <w:pStyle w:val="ListBullet"/>
        <w:spacing w:after="40"/>
      </w:pPr>
      <w:r>
        <w:t>objectifs</w:t>
      </w:r>
    </w:p>
    <w:p>
      <w:pPr>
        <w:pStyle w:val="ListBullet"/>
        <w:spacing w:after="40"/>
      </w:pPr>
      <w:r>
        <w:t>pourquoi cette approche peut intéresser la structure</w:t>
      </w:r>
    </w:p>
    <w:p>
      <w:pPr>
        <w:pStyle w:val="ListBullet"/>
        <w:spacing w:after="40"/>
      </w:pPr>
      <w:r>
        <w:t>notre porte d’entrée</w:t>
      </w:r>
    </w:p>
    <w:p>
      <w:pPr>
        <w:pStyle w:val="ListBullet"/>
        <w:spacing w:after="40"/>
      </w:pPr>
      <w:r>
        <w:t>offres prioritaires</w:t>
      </w:r>
    </w:p>
    <w:p>
      <w:pPr>
        <w:pStyle w:val="ListBullet"/>
        <w:spacing w:after="40"/>
      </w:pPr>
      <w:r>
        <w:t>formations prioritaires</w:t>
      </w:r>
    </w:p>
    <w:p>
      <w:pPr>
        <w:pStyle w:val="ListBullet"/>
        <w:spacing w:after="40"/>
      </w:pPr>
      <w:r>
        <w:t>hypothèse de gains attendus</w:t>
      </w:r>
    </w:p>
    <w:p>
      <w:pPr>
        <w:pStyle w:val="ListBullet"/>
        <w:spacing w:after="40"/>
      </w:pPr>
      <w:r>
        <w:t>proposition immédiate</w:t>
      </w:r>
    </w:p>
    <w:p>
      <w:pPr>
        <w:pStyle w:val="Heading2"/>
        <w:spacing w:before="120" w:after="60"/>
      </w:pPr>
      <w:r>
        <w:t>Nœud 17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Generate Tailored Audit Form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produire une forme d’audit pré-appel adaptée au secteur</w:t>
      </w:r>
    </w:p>
    <w:p>
      <w:pPr>
        <w:spacing w:after="120"/>
      </w:pPr>
      <w:r>
        <w:t>Champs attendus :</w:t>
      </w:r>
    </w:p>
    <w:p>
      <w:pPr>
        <w:pStyle w:val="ListBullet"/>
        <w:spacing w:after="40"/>
      </w:pPr>
      <w:r>
        <w:t>priorités métier</w:t>
      </w:r>
    </w:p>
    <w:p>
      <w:pPr>
        <w:pStyle w:val="ListBullet"/>
        <w:spacing w:after="40"/>
      </w:pPr>
      <w:r>
        <w:t>irritants</w:t>
      </w:r>
    </w:p>
    <w:p>
      <w:pPr>
        <w:pStyle w:val="ListBullet"/>
        <w:spacing w:after="40"/>
      </w:pPr>
      <w:r>
        <w:t>outils actuels</w:t>
      </w:r>
    </w:p>
    <w:p>
      <w:pPr>
        <w:pStyle w:val="ListBullet"/>
        <w:spacing w:after="40"/>
      </w:pPr>
      <w:r>
        <w:t>données</w:t>
      </w:r>
    </w:p>
    <w:p>
      <w:pPr>
        <w:pStyle w:val="ListBullet"/>
        <w:spacing w:after="40"/>
      </w:pPr>
      <w:r>
        <w:t>attentes de formation</w:t>
      </w:r>
    </w:p>
    <w:p>
      <w:pPr>
        <w:pStyle w:val="ListBullet"/>
        <w:spacing w:after="40"/>
      </w:pPr>
      <w:r>
        <w:t>confidentialité</w:t>
      </w:r>
    </w:p>
    <w:p>
      <w:pPr>
        <w:pStyle w:val="ListBullet"/>
        <w:spacing w:after="40"/>
      </w:pPr>
      <w:r>
        <w:t>objectifs à 3 mois</w:t>
      </w:r>
    </w:p>
    <w:p>
      <w:pPr>
        <w:pStyle w:val="ListBullet"/>
        <w:spacing w:after="40"/>
      </w:pPr>
      <w:r>
        <w:t>volumes</w:t>
      </w:r>
    </w:p>
    <w:p>
      <w:pPr>
        <w:pStyle w:val="ListBullet"/>
        <w:spacing w:after="40"/>
      </w:pPr>
      <w:r>
        <w:t>délais</w:t>
      </w:r>
    </w:p>
    <w:p>
      <w:pPr>
        <w:pStyle w:val="ListBullet"/>
        <w:spacing w:after="40"/>
      </w:pPr>
      <w:r>
        <w:t>objectifs de performance</w:t>
      </w:r>
    </w:p>
    <w:p>
      <w:pPr>
        <w:pStyle w:val="Heading2"/>
        <w:spacing w:before="120" w:after="60"/>
      </w:pPr>
      <w:r>
        <w:t>Nœud 18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Generate Deck Brief</w:t>
      </w:r>
    </w:p>
    <w:p>
      <w:pPr>
        <w:spacing w:after="120"/>
      </w:pPr>
      <w:r>
        <w:t>Objectif :</w:t>
      </w:r>
    </w:p>
    <w:p>
      <w:pPr>
        <w:pStyle w:val="ListBullet"/>
        <w:spacing w:after="40"/>
      </w:pPr>
      <w:r>
        <w:t>produire un JSON pour la future présentation</w:t>
      </w:r>
    </w:p>
    <w:p>
      <w:pPr>
        <w:spacing w:after="120"/>
      </w:pPr>
      <w:r>
        <w:t>Champs attendus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slide_objective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key_messages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sector_pain_points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recommended_case_study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training_focus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roi_hypothesis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delivery_timeline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sector_variant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single_primary_cta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Assemble Prospect Context</w:t>
      </w:r>
      <w:r>
        <w:t xml:space="preserve"> -&gt; les 4 nœuds de génération</w:t>
      </w:r>
    </w:p>
    <w:p>
      <w:pPr>
        <w:pStyle w:val="Heading1"/>
        <w:spacing w:before="200" w:after="60"/>
      </w:pPr>
      <w:r>
        <w:t>Étape 10 - Assembler le pack prospect</w:t>
      </w:r>
    </w:p>
    <w:p>
      <w:pPr>
        <w:pStyle w:val="Heading2"/>
        <w:spacing w:before="120" w:after="60"/>
      </w:pPr>
      <w:r>
        <w:t>Nœud 19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Code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t>Ce nœud doit :</w:t>
      </w:r>
    </w:p>
    <w:p>
      <w:pPr>
        <w:pStyle w:val="ListBullet"/>
        <w:spacing w:after="40"/>
      </w:pPr>
      <w:r>
        <w:t>récupérer les sorties des 4 livrables</w:t>
      </w:r>
    </w:p>
    <w:p>
      <w:pPr>
        <w:pStyle w:val="ListBullet"/>
        <w:spacing w:after="40"/>
      </w:pPr>
      <w:r>
        <w:t>parser le JSON du deck brief</w:t>
      </w:r>
    </w:p>
    <w:p>
      <w:pPr>
        <w:pStyle w:val="ListBullet"/>
        <w:spacing w:after="40"/>
      </w:pPr>
      <w:r>
        <w:t>réinjecter localement les vraies valeurs dans les placeholders</w:t>
      </w:r>
    </w:p>
    <w:p>
      <w:pPr>
        <w:pStyle w:val="ListBullet"/>
        <w:spacing w:after="40"/>
      </w:pPr>
      <w:r>
        <w:t xml:space="preserve">calculer </w:t>
      </w:r>
      <w:r>
        <w:rPr>
          <w:rFonts w:ascii="Courier New" w:hAnsi="Courier New"/>
          <w:sz w:val="20"/>
        </w:rPr>
        <w:t>approved_for_send</w:t>
      </w:r>
    </w:p>
    <w:p>
      <w:pPr>
        <w:pStyle w:val="ListBullet"/>
        <w:spacing w:after="40"/>
      </w:pPr>
      <w:r>
        <w:t>inclure le résumé de redaction LLM</w:t>
      </w:r>
    </w:p>
    <w:p>
      <w:pPr>
        <w:spacing w:after="120"/>
      </w:pPr>
      <w:r>
        <w:t>Les placeholders à hydrater localement sont par exemple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{{ORGANIZATION_NAME}}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{{DECISION_MAKER_NAME}}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{{WEBSITE}}</w:t>
      </w:r>
    </w:p>
    <w:p>
      <w:pPr>
        <w:spacing w:after="120"/>
      </w:pPr>
      <w:r>
        <w:t>Sortie finale à produire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executive_letter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tailored_catalogue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tailored_audit_form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deck_brief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llm_redaction_summary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approved_for_send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Generate Executive Letter</w:t>
      </w:r>
      <w:r>
        <w:t xml:space="preserve"> -&gt; </w:t>
      </w:r>
      <w:r>
        <w:rPr>
          <w:rFonts w:ascii="Courier New" w:hAnsi="Courier New"/>
          <w:sz w:val="20"/>
        </w:rPr>
        <w:t>Assemble Prospect Pack</w:t>
      </w:r>
    </w:p>
    <w:p>
      <w:pPr>
        <w:spacing w:after="120"/>
      </w:pPr>
      <w:r>
        <w:t>Le code peut relire les autres nœuds génératifs directement.</w:t>
      </w:r>
    </w:p>
    <w:p>
      <w:pPr>
        <w:pStyle w:val="Heading1"/>
        <w:spacing w:before="200" w:after="60"/>
      </w:pPr>
      <w:r>
        <w:t>Étape 11 - Mettre le pack en revue manuelle</w:t>
      </w:r>
    </w:p>
    <w:p>
      <w:pPr>
        <w:pStyle w:val="Heading2"/>
        <w:spacing w:before="120" w:after="60"/>
      </w:pPr>
      <w:r>
        <w:t>Nœud 20</w:t>
      </w:r>
    </w:p>
    <w:p>
      <w:pPr>
        <w:pStyle w:val="ListBullet"/>
        <w:spacing w:after="40"/>
      </w:pPr>
      <w:r>
        <w:t xml:space="preserve">Type : </w:t>
      </w:r>
      <w:r>
        <w:rPr>
          <w:rFonts w:ascii="Courier New" w:hAnsi="Courier New"/>
          <w:sz w:val="20"/>
        </w:rPr>
        <w:t>Set</w:t>
      </w:r>
    </w:p>
    <w:p>
      <w:pPr>
        <w:pStyle w:val="ListBullet"/>
        <w:spacing w:after="40"/>
      </w:pPr>
      <w:r>
        <w:t xml:space="preserve">Nom : </w:t>
      </w:r>
      <w:r>
        <w:rPr>
          <w:rFonts w:ascii="Courier New" w:hAnsi="Courier New"/>
          <w:sz w:val="20"/>
        </w:rPr>
        <w:t>Mark For Review</w:t>
      </w:r>
    </w:p>
    <w:p>
      <w:pPr>
        <w:spacing w:after="120"/>
      </w:pPr>
      <w:r>
        <w:t>Ajouter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workflow_status = ready_for_manual_review</w:t>
      </w:r>
    </w:p>
    <w:p>
      <w:pPr>
        <w:spacing w:after="120"/>
      </w:pPr>
      <w:r>
        <w:t>Connexion 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Assemble Prospect Pack</w:t>
      </w:r>
      <w:r>
        <w:t xml:space="preserve"> -&gt; </w:t>
      </w:r>
      <w:r>
        <w:rPr>
          <w:rFonts w:ascii="Courier New" w:hAnsi="Courier New"/>
          <w:sz w:val="20"/>
        </w:rPr>
        <w:t>Mark For Review</w:t>
      </w:r>
    </w:p>
    <w:p>
      <w:pPr>
        <w:pStyle w:val="Heading1"/>
        <w:spacing w:before="200" w:after="60"/>
      </w:pPr>
      <w:r>
        <w:t>Résultat final attendu</w:t>
      </w:r>
    </w:p>
    <w:p>
      <w:pPr>
        <w:spacing w:after="120"/>
      </w:pPr>
      <w:r>
        <w:t>Une fois exécuté, le workflow V1 doit fournir un pack prospect prêt à validation humaine comprenant :</w:t>
      </w:r>
    </w:p>
    <w:p>
      <w:pPr>
        <w:pStyle w:val="ListBullet"/>
        <w:spacing w:after="40"/>
      </w:pPr>
      <w:r>
        <w:t>l’angle commercial</w:t>
      </w:r>
    </w:p>
    <w:p>
      <w:pPr>
        <w:pStyle w:val="ListBullet"/>
        <w:spacing w:after="40"/>
      </w:pPr>
      <w:r>
        <w:t>la niche d’entrée</w:t>
      </w:r>
    </w:p>
    <w:p>
      <w:pPr>
        <w:pStyle w:val="ListBullet"/>
        <w:spacing w:after="40"/>
      </w:pPr>
      <w:r>
        <w:t>les problèmes probables</w:t>
      </w:r>
    </w:p>
    <w:p>
      <w:pPr>
        <w:pStyle w:val="ListBullet"/>
        <w:spacing w:after="40"/>
      </w:pPr>
      <w:r>
        <w:t>le courrier</w:t>
      </w:r>
    </w:p>
    <w:p>
      <w:pPr>
        <w:pStyle w:val="ListBullet"/>
        <w:spacing w:after="40"/>
      </w:pPr>
      <w:r>
        <w:t>le mini-catalogue</w:t>
      </w:r>
    </w:p>
    <w:p>
      <w:pPr>
        <w:pStyle w:val="ListBullet"/>
        <w:spacing w:after="40"/>
      </w:pPr>
      <w:r>
        <w:t>la forme d’audit</w:t>
      </w:r>
    </w:p>
    <w:p>
      <w:pPr>
        <w:pStyle w:val="ListBullet"/>
        <w:spacing w:after="40"/>
      </w:pPr>
      <w:r>
        <w:t>le brief de présentation</w:t>
      </w:r>
    </w:p>
    <w:p>
      <w:pPr>
        <w:pStyle w:val="ListBullet"/>
        <w:spacing w:after="40"/>
      </w:pPr>
      <w:r>
        <w:t>le résumé de protection LLM</w:t>
      </w:r>
    </w:p>
    <w:p>
      <w:pPr>
        <w:pStyle w:val="Heading1"/>
        <w:spacing w:before="200" w:after="60"/>
      </w:pPr>
      <w:r>
        <w:t>Ordre logique de test</w:t>
      </w:r>
    </w:p>
    <w:p>
      <w:pPr>
        <w:spacing w:after="120"/>
      </w:pPr>
      <w:r>
        <w:t>Pour valider le workflow dans n8n, tester dans cet ordre :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Set Target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Build Source URLs</w:t>
      </w:r>
    </w:p>
    <w:p>
      <w:pPr>
        <w:pStyle w:val="ListNumber"/>
        <w:spacing w:after="40"/>
      </w:pPr>
      <w:r>
        <w:t>les 5 requêtes HTTP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Normalize Public Signals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Sanitize Prospect Data For LLM</w:t>
      </w:r>
    </w:p>
    <w:p>
      <w:pPr>
        <w:pStyle w:val="ListNumber"/>
        <w:spacing w:after="40"/>
      </w:pPr>
      <w:r>
        <w:t>les 3 appels d’analyse OpenAI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Assemble Prospect Context</w:t>
      </w:r>
    </w:p>
    <w:p>
      <w:pPr>
        <w:pStyle w:val="ListNumber"/>
        <w:spacing w:after="40"/>
      </w:pPr>
      <w:r>
        <w:t>les 4 livrables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Assemble Prospect Pack</w:t>
      </w:r>
    </w:p>
    <w:p>
      <w:pPr>
        <w:pStyle w:val="ListNumber"/>
        <w:spacing w:after="40"/>
      </w:pPr>
      <w:r>
        <w:rPr>
          <w:rFonts w:ascii="Courier New" w:hAnsi="Courier New"/>
          <w:sz w:val="20"/>
        </w:rPr>
        <w:t>Mark For Review</w:t>
      </w:r>
    </w:p>
    <w:p>
      <w:pPr>
        <w:pStyle w:val="Heading1"/>
        <w:spacing w:before="200" w:after="60"/>
      </w:pPr>
      <w:r>
        <w:t>Conseil d’exploitation</w:t>
      </w:r>
    </w:p>
    <w:p>
      <w:pPr>
        <w:spacing w:after="120"/>
      </w:pPr>
      <w:r>
        <w:t>Pour un usage réel, garder le V1 comme workflow de production documentaire assistée, avec :</w:t>
      </w:r>
    </w:p>
    <w:p>
      <w:pPr>
        <w:pStyle w:val="ListBullet"/>
        <w:spacing w:after="40"/>
      </w:pPr>
      <w:r>
        <w:t>une revue humaine avant contact</w:t>
      </w:r>
    </w:p>
    <w:p>
      <w:pPr>
        <w:pStyle w:val="ListBullet"/>
        <w:spacing w:after="40"/>
      </w:pPr>
      <w:r>
        <w:t>une vérification des hypothèses avant envoi</w:t>
      </w:r>
    </w:p>
    <w:p>
      <w:pPr>
        <w:pStyle w:val="ListBullet"/>
        <w:spacing w:after="40"/>
      </w:pPr>
      <w:r>
        <w:t>une adaptation finale du message selon la relation existante avec le prospect</w:t>
      </w:r>
    </w:p>
    <w:p>
      <w:pPr>
        <w:pStyle w:val="ListBullet"/>
        <w:spacing w:after="40"/>
      </w:pPr>
      <w:r>
        <w:t>une alimentation depuis une CRM, une feuille ou Supabase pour enchaîner plusieurs prospects sans dupliquer le workflow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