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1" w:color="D9E2F2"/>
        </w:pBdr>
        <w:spacing w:after="200"/>
        <w:jc w:val="center"/>
      </w:pPr>
      <w:r>
        <w:t>Guide Utilisateur - Workflow Prospection V3 CRM + Audit Dynamique</w:t>
      </w:r>
    </w:p>
    <w:p>
      <w:pPr>
        <w:pStyle w:val="Heading1"/>
        <w:spacing w:before="200" w:after="60"/>
      </w:pPr>
      <w:r>
        <w:t>1. Objet du document</w:t>
      </w:r>
    </w:p>
    <w:p>
      <w:pPr>
        <w:spacing w:after="120"/>
      </w:pPr>
      <w:r>
        <w:t>Ce guide est la référence opérationnelle du workflow :</w:t>
      </w:r>
    </w:p>
    <w:p>
      <w:pPr>
        <w:pStyle w:val="ListBullet"/>
        <w:spacing w:after="40"/>
      </w:pPr>
      <w:r>
        <w:t>[73_TransferAI_Prospecting_V3_CRM_Enhanced_FINAL_11_Local_Audit_Fixed.json](/Users/marius_ayoro/Documents/GitHub/connect-ia-bloom/docs/transferai-admin/73_TransferAI_Prospecting_V3_CRM_Enhanced_FINAL_11_Local_Audit_Fixed.json)</w:t>
      </w:r>
    </w:p>
    <w:p>
      <w:pPr>
        <w:spacing w:after="120"/>
      </w:pPr>
      <w:r>
        <w:t>Il explique, en français standard, ce que fait chaque nœud, comment le configurer, ce qui a évolué depuis les premières versions, et dans quel ordre exécuter le projet.</w:t>
      </w:r>
    </w:p>
    <w:p>
      <w:pPr>
        <w:spacing w:after="120"/>
      </w:pPr>
      <w:r>
        <w:t>Ce guide couvre :</w:t>
      </w:r>
    </w:p>
    <w:p>
      <w:pPr>
        <w:pStyle w:val="ListNumber"/>
        <w:spacing w:after="40"/>
      </w:pPr>
      <w:r>
        <w:t>l’historique fonctionnel V1 à aujourd’hui</w:t>
      </w:r>
    </w:p>
    <w:p>
      <w:pPr>
        <w:pStyle w:val="ListNumber"/>
        <w:spacing w:after="40"/>
      </w:pPr>
      <w:r>
        <w:t>l’architecture générale</w:t>
      </w:r>
    </w:p>
    <w:p>
      <w:pPr>
        <w:pStyle w:val="ListNumber"/>
        <w:spacing w:after="40"/>
      </w:pPr>
      <w:r>
        <w:t>les prérequis</w:t>
      </w:r>
    </w:p>
    <w:p>
      <w:pPr>
        <w:pStyle w:val="ListNumber"/>
        <w:spacing w:after="40"/>
      </w:pPr>
      <w:r>
        <w:t>le rôle et la configuration de chaque nœud</w:t>
      </w:r>
    </w:p>
    <w:p>
      <w:pPr>
        <w:pStyle w:val="ListNumber"/>
        <w:spacing w:after="40"/>
      </w:pPr>
      <w:r>
        <w:t>les changements récents autour du formulaire d’audit dynamique</w:t>
      </w:r>
    </w:p>
    <w:p>
      <w:pPr>
        <w:pStyle w:val="ListNumber"/>
        <w:spacing w:after="40"/>
      </w:pPr>
      <w:r>
        <w:t>l’ordre d’exécution recommandé</w:t>
      </w:r>
    </w:p>
    <w:p>
      <w:pPr>
        <w:pStyle w:val="Heading1"/>
        <w:spacing w:before="200" w:after="60"/>
      </w:pPr>
      <w:r>
        <w:t>2. Historique utile du projet</w:t>
      </w:r>
    </w:p>
    <w:p>
      <w:pPr>
        <w:pStyle w:val="Heading2"/>
        <w:spacing w:before="120" w:after="60"/>
      </w:pPr>
      <w:r>
        <w:t>V1</w:t>
      </w:r>
    </w:p>
    <w:p>
      <w:pPr>
        <w:spacing w:after="120"/>
      </w:pPr>
      <w:r>
        <w:t>La V1 permettait surtout de :</w:t>
      </w:r>
    </w:p>
    <w:p>
      <w:pPr>
        <w:pStyle w:val="ListBullet"/>
        <w:spacing w:after="40"/>
      </w:pPr>
      <w:r>
        <w:t>qualifier un prospect</w:t>
      </w:r>
    </w:p>
    <w:p>
      <w:pPr>
        <w:pStyle w:val="ListBullet"/>
        <w:spacing w:after="40"/>
      </w:pPr>
      <w:r>
        <w:t>générer des contenus commerciaux</w:t>
      </w:r>
    </w:p>
    <w:p>
      <w:pPr>
        <w:pStyle w:val="ListBullet"/>
        <w:spacing w:after="40"/>
      </w:pPr>
      <w:r>
        <w:t>envoyer une proposition simple</w:t>
      </w:r>
    </w:p>
    <w:p>
      <w:pPr>
        <w:spacing w:after="120"/>
      </w:pPr>
      <w:r>
        <w:t>Limites de la V1 :</w:t>
      </w:r>
    </w:p>
    <w:p>
      <w:pPr>
        <w:pStyle w:val="ListBullet"/>
        <w:spacing w:after="40"/>
      </w:pPr>
      <w:r>
        <w:t>pas de stockage structuré complet dans Supabase</w:t>
      </w:r>
    </w:p>
    <w:p>
      <w:pPr>
        <w:pStyle w:val="ListBullet"/>
        <w:spacing w:after="40"/>
      </w:pPr>
      <w:r>
        <w:t>pas de parcours d’approbation robuste</w:t>
      </w:r>
    </w:p>
    <w:p>
      <w:pPr>
        <w:pStyle w:val="ListBullet"/>
        <w:spacing w:after="40"/>
      </w:pPr>
      <w:r>
        <w:t>pas de lien d’audit dynamique par prospect</w:t>
      </w:r>
    </w:p>
    <w:p>
      <w:pPr>
        <w:pStyle w:val="Heading2"/>
        <w:spacing w:before="120" w:after="60"/>
      </w:pPr>
      <w:r>
        <w:t>V2</w:t>
      </w:r>
    </w:p>
    <w:p>
      <w:pPr>
        <w:spacing w:after="120"/>
      </w:pPr>
      <w:r>
        <w:t>La V2 a ajouté :</w:t>
      </w:r>
    </w:p>
    <w:p>
      <w:pPr>
        <w:pStyle w:val="ListBullet"/>
        <w:spacing w:after="40"/>
      </w:pPr>
      <w:r>
        <w:t>la persistance en base</w:t>
      </w:r>
    </w:p>
    <w:p>
      <w:pPr>
        <w:pStyle w:val="ListBullet"/>
        <w:spacing w:after="40"/>
      </w:pPr>
      <w:r>
        <w:t>l’approbation avant envoi</w:t>
      </w:r>
    </w:p>
    <w:p>
      <w:pPr>
        <w:pStyle w:val="ListBullet"/>
        <w:spacing w:after="40"/>
      </w:pPr>
      <w:r>
        <w:t>un meilleur contrôle commercial</w:t>
      </w:r>
    </w:p>
    <w:p>
      <w:pPr>
        <w:spacing w:after="120"/>
      </w:pPr>
      <w:r>
        <w:t>Limites de la V2 :</w:t>
      </w:r>
    </w:p>
    <w:p>
      <w:pPr>
        <w:pStyle w:val="ListBullet"/>
        <w:spacing w:after="40"/>
      </w:pPr>
      <w:r>
        <w:t>le formulaire d’audit restait générique</w:t>
      </w:r>
    </w:p>
    <w:p>
      <w:pPr>
        <w:pStyle w:val="ListBullet"/>
        <w:spacing w:after="40"/>
      </w:pPr>
      <w:r>
        <w:t>le lien du formulaire n’était pas individualisé</w:t>
      </w:r>
    </w:p>
    <w:p>
      <w:pPr>
        <w:pStyle w:val="Heading2"/>
        <w:spacing w:before="120" w:after="60"/>
      </w:pPr>
      <w:r>
        <w:t>V3 CRM Enhanced</w:t>
      </w:r>
    </w:p>
    <w:p>
      <w:pPr>
        <w:spacing w:after="120"/>
      </w:pPr>
      <w:r>
        <w:t>La V3 actuelle ajoute :</w:t>
      </w:r>
    </w:p>
    <w:p>
      <w:pPr>
        <w:pStyle w:val="ListBullet"/>
        <w:spacing w:after="40"/>
      </w:pPr>
      <w:r>
        <w:t>une logique CRM plus cohérente</w:t>
      </w:r>
    </w:p>
    <w:p>
      <w:pPr>
        <w:pStyle w:val="ListBullet"/>
        <w:spacing w:after="40"/>
      </w:pPr>
      <w:r>
        <w:t xml:space="preserve">la génération d’un </w:t>
      </w: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t xml:space="preserve">la construction d’un </w:t>
      </w:r>
      <w:r>
        <w:rPr>
          <w:rFonts w:ascii="Courier New" w:hAnsi="Courier New"/>
          <w:sz w:val="20"/>
        </w:rPr>
        <w:t>audit_form_url</w:t>
      </w:r>
    </w:p>
    <w:p>
      <w:pPr>
        <w:pStyle w:val="ListBullet"/>
        <w:spacing w:after="40"/>
      </w:pPr>
      <w:r>
        <w:t>un pack prospect complet stocké dans Supabase</w:t>
      </w:r>
    </w:p>
    <w:p>
      <w:pPr>
        <w:pStyle w:val="ListBullet"/>
        <w:spacing w:after="40"/>
      </w:pPr>
      <w:r>
        <w:t>un parcours d’approbation avant envoi</w:t>
      </w:r>
    </w:p>
    <w:p>
      <w:pPr>
        <w:pStyle w:val="ListBullet"/>
        <w:spacing w:after="40"/>
      </w:pPr>
      <w:r>
        <w:t>une base prête pour le formulaire d’audit dynamique</w:t>
      </w:r>
    </w:p>
    <w:p>
      <w:pPr>
        <w:pStyle w:val="Heading2"/>
        <w:spacing w:before="120" w:after="60"/>
      </w:pPr>
      <w:r>
        <w:t>Version actuelle enrichie audit dynamique</w:t>
      </w:r>
    </w:p>
    <w:p>
      <w:pPr>
        <w:spacing w:after="120"/>
      </w:pPr>
      <w:r>
        <w:t>Les évolutions récentes portent sur :</w:t>
      </w:r>
    </w:p>
    <w:p>
      <w:pPr>
        <w:pStyle w:val="ListBullet"/>
        <w:spacing w:after="40"/>
      </w:pPr>
      <w:r>
        <w:t>le remplacement du lien générique du formulaire par un lien dynamique</w:t>
      </w:r>
    </w:p>
    <w:p>
      <w:pPr>
        <w:pStyle w:val="ListBullet"/>
        <w:spacing w:after="40"/>
      </w:pPr>
      <w:r>
        <w:t>la préparation du nouveau formulaire premium côté frontend</w:t>
      </w:r>
    </w:p>
    <w:p>
      <w:pPr>
        <w:pStyle w:val="ListBullet"/>
        <w:spacing w:after="40"/>
      </w:pPr>
      <w:r>
        <w:t>la remontée d’une recommandation de service TransferAI après soumission</w:t>
      </w:r>
    </w:p>
    <w:p>
      <w:pPr>
        <w:pStyle w:val="ListBullet"/>
        <w:spacing w:after="40"/>
      </w:pPr>
      <w:r>
        <w:t>le déclenchement automatique du workflow post-audit</w:t>
      </w:r>
    </w:p>
    <w:p>
      <w:pPr>
        <w:pStyle w:val="Heading2"/>
        <w:spacing w:before="120" w:after="60"/>
      </w:pPr>
      <w:r>
        <w:t>Position actuelle du projet</w:t>
      </w:r>
    </w:p>
    <w:p>
      <w:pPr>
        <w:spacing w:after="120"/>
      </w:pPr>
      <w:r>
        <w:t>À date :</w:t>
      </w:r>
    </w:p>
    <w:p>
      <w:pPr>
        <w:pStyle w:val="ListBullet"/>
        <w:spacing w:after="40"/>
      </w:pPr>
      <w:r>
        <w:t xml:space="preserve">la </w:t>
      </w:r>
      <w:r>
        <w:rPr>
          <w:rFonts w:ascii="Courier New" w:hAnsi="Courier New"/>
          <w:sz w:val="20"/>
        </w:rPr>
        <w:t>V3</w:t>
      </w:r>
      <w:r>
        <w:t xml:space="preserve"> est considérée comme terminée pour la phase </w:t>
      </w:r>
      <w:r>
        <w:rPr>
          <w:b/>
        </w:rPr>
        <w:t>avant audit</w:t>
      </w:r>
    </w:p>
    <w:p>
      <w:pPr>
        <w:pStyle w:val="ListBullet"/>
        <w:spacing w:after="40"/>
      </w:pPr>
      <w:r>
        <w:t>le formulaire d’audit dynamique est branché de bout en bout</w:t>
      </w:r>
    </w:p>
    <w:p>
      <w:pPr>
        <w:pStyle w:val="ListBullet"/>
        <w:spacing w:after="40"/>
      </w:pPr>
      <w:r>
        <w:t>le post-audit est désormais pris en charge par le workflow :</w:t>
      </w:r>
    </w:p>
    <w:p>
      <w:pPr>
        <w:spacing w:after="120"/>
      </w:pPr>
      <w:r>
        <w:t>[74_n8n_Post_Audit_Expert_Routing_V2_Exportable.json](/Users/marius_ayoro/Documents/GitHub/connect-ia-bloom/docs/transferai-admin/74_n8n_Post_Audit_Expert_Routing_V2_Exportable.json)</w:t>
      </w:r>
    </w:p>
    <w:p>
      <w:pPr>
        <w:pStyle w:val="Heading1"/>
        <w:spacing w:before="200" w:after="60"/>
      </w:pPr>
      <w:r>
        <w:t>3. Vue d’ensemble du workflow</w:t>
      </w:r>
    </w:p>
    <w:p>
      <w:pPr>
        <w:spacing w:after="120"/>
      </w:pPr>
      <w:r>
        <w:t>Le workflow complet comporte quatre grandes phases :</w:t>
      </w:r>
    </w:p>
    <w:p>
      <w:pPr>
        <w:pStyle w:val="ListNumber"/>
        <w:spacing w:after="40"/>
      </w:pPr>
      <w:r>
        <w:t>qualification et lecture du prospect</w:t>
      </w:r>
    </w:p>
    <w:p>
      <w:pPr>
        <w:pStyle w:val="ListNumber"/>
        <w:spacing w:after="40"/>
      </w:pPr>
      <w:r>
        <w:t>génération des contenus du pack</w:t>
      </w:r>
    </w:p>
    <w:p>
      <w:pPr>
        <w:pStyle w:val="ListNumber"/>
        <w:spacing w:after="40"/>
      </w:pPr>
      <w:r>
        <w:t>stockage et validation interne</w:t>
      </w:r>
    </w:p>
    <w:p>
      <w:pPr>
        <w:pStyle w:val="ListNumber"/>
        <w:spacing w:after="40"/>
      </w:pPr>
      <w:r>
        <w:t>approbation puis envoi au prospect</w:t>
      </w:r>
    </w:p>
    <w:p>
      <w:pPr>
        <w:spacing w:after="120"/>
      </w:pPr>
      <w:r>
        <w:t>Le formulaire d’audit dynamique intervient ensuite comme couche complémentaire :</w:t>
      </w:r>
    </w:p>
    <w:p>
      <w:pPr>
        <w:pStyle w:val="ListNumber"/>
        <w:spacing w:after="40"/>
      </w:pPr>
      <w:r>
        <w:t>le prospect clique sur un lien d’audit personnalisé</w:t>
      </w:r>
    </w:p>
    <w:p>
      <w:pPr>
        <w:pStyle w:val="ListNumber"/>
        <w:spacing w:after="40"/>
      </w:pPr>
      <w:r>
        <w:t>il remplit le formulaire</w:t>
      </w:r>
    </w:p>
    <w:p>
      <w:pPr>
        <w:pStyle w:val="ListNumber"/>
        <w:spacing w:after="40"/>
      </w:pPr>
      <w:r>
        <w:t>Supabase enregistre les réponses</w:t>
      </w:r>
    </w:p>
    <w:p>
      <w:pPr>
        <w:pStyle w:val="ListNumber"/>
        <w:spacing w:after="40"/>
      </w:pPr>
      <w:r>
        <w:t>une recommandation de service TransferAI est calculée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save-form-response</w:t>
      </w:r>
      <w:r>
        <w:t xml:space="preserve"> déclenche automatiquement le webhook post-audit quand la complétion atteint </w:t>
      </w:r>
      <w:r>
        <w:rPr>
          <w:rFonts w:ascii="Courier New" w:hAnsi="Courier New"/>
          <w:sz w:val="20"/>
        </w:rPr>
        <w:t>80%</w:t>
      </w:r>
      <w:r>
        <w:t xml:space="preserve"> ou plus</w:t>
      </w:r>
    </w:p>
    <w:p>
      <w:pPr>
        <w:pStyle w:val="ListNumber"/>
        <w:spacing w:after="40"/>
      </w:pPr>
      <w:r>
        <w:t>le workflow post-audit produit la fiche pré-RDV et alimente la table de suivi</w:t>
      </w:r>
    </w:p>
    <w:p>
      <w:pPr>
        <w:pStyle w:val="Heading1"/>
        <w:spacing w:before="200" w:after="60"/>
      </w:pPr>
      <w:r>
        <w:t>4. Pré-requis de configuration</w:t>
      </w:r>
    </w:p>
    <w:p>
      <w:pPr>
        <w:spacing w:after="120"/>
      </w:pPr>
      <w:r>
        <w:t>Avant d’utiliser le workflow, les éléments suivants doivent être prêts.</w:t>
      </w:r>
    </w:p>
    <w:p>
      <w:pPr>
        <w:pStyle w:val="Heading2"/>
        <w:spacing w:before="120" w:after="60"/>
      </w:pPr>
      <w:r>
        <w:t>4.1 Services nécessaires</w:t>
      </w:r>
    </w:p>
    <w:p>
      <w:pPr>
        <w:pStyle w:val="ListBullet"/>
        <w:spacing w:after="40"/>
      </w:pPr>
      <w:r>
        <w:t>n8n</w:t>
      </w:r>
    </w:p>
    <w:p>
      <w:pPr>
        <w:pStyle w:val="ListBullet"/>
        <w:spacing w:after="40"/>
      </w:pPr>
      <w:r>
        <w:t>Supabase</w:t>
      </w:r>
    </w:p>
    <w:p>
      <w:pPr>
        <w:pStyle w:val="ListBullet"/>
        <w:spacing w:after="40"/>
      </w:pPr>
      <w:r>
        <w:t>OpenAI</w:t>
      </w:r>
    </w:p>
    <w:p>
      <w:pPr>
        <w:pStyle w:val="ListBullet"/>
        <w:spacing w:after="40"/>
      </w:pPr>
      <w:r>
        <w:t>Resend</w:t>
      </w:r>
    </w:p>
    <w:p>
      <w:pPr>
        <w:pStyle w:val="ListBullet"/>
        <w:spacing w:after="40"/>
      </w:pPr>
      <w:r>
        <w:t xml:space="preserve">frontend du site </w:t>
      </w:r>
      <w:r>
        <w:rPr>
          <w:rFonts w:ascii="Courier New" w:hAnsi="Courier New"/>
          <w:sz w:val="20"/>
        </w:rPr>
        <w:t>audit.transferai.ci</w:t>
      </w:r>
    </w:p>
    <w:p>
      <w:pPr>
        <w:pStyle w:val="Heading2"/>
        <w:spacing w:before="120" w:after="60"/>
      </w:pPr>
      <w:r>
        <w:t>4.2 Variables d’environnement clés</w:t>
      </w:r>
    </w:p>
    <w:p>
      <w:pPr>
        <w:spacing w:after="120"/>
      </w:pPr>
      <w:r>
        <w:t>Pour la chaîne complète V3 + post-audit, les variables suivantes doivent être prêtes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SUPABASE_SERVICE_ROLE_KEY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OPENAI_API_KEY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RESEND_API_KEY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N8N_POST_AUDIT_WEBHOOK_URL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POST_AUDIT_INTERNAL_EMAIL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BOOKING_LINK_45MIN</w:t>
      </w:r>
    </w:p>
    <w:p>
      <w:pPr>
        <w:spacing w:after="120"/>
      </w:pPr>
      <w:r>
        <w:t>Variables optionnelles utiles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POST_AUDIT_ROUTING_MAP_JSON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POST_AUDIT_SLACK_WEBHOOK_URL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POST_AUDIT_N8N_WEBHOOK_BEARER_TOKEN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POST_AUDIT_NEXT_ACTION_DELAY_DAYS</w:t>
      </w:r>
    </w:p>
    <w:p>
      <w:pPr>
        <w:pStyle w:val="Heading2"/>
        <w:spacing w:before="120" w:after="60"/>
      </w:pPr>
      <w:r>
        <w:t>4.3 Variables métier minimales attendues</w:t>
      </w:r>
    </w:p>
    <w:p>
      <w:pPr>
        <w:spacing w:after="120"/>
      </w:pPr>
      <w:r>
        <w:t>Le workflow manipule au minimum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website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country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sector_guess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decision_maker_name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target_email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custom_page_paths_csv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booking_link_45min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commercial_priority_default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research_scope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source_backend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source_label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raw_source_id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niche_status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last_response_status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last_sequence_result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prospect_language</w:t>
      </w:r>
    </w:p>
    <w:p>
      <w:pPr>
        <w:pStyle w:val="Heading2"/>
        <w:spacing w:before="120" w:after="60"/>
      </w:pPr>
      <w:r>
        <w:t>4.4 Recommandation de sécurité</w:t>
      </w:r>
    </w:p>
    <w:p>
      <w:pPr>
        <w:spacing w:after="120"/>
      </w:pPr>
      <w:r>
        <w:t>Ne laissez pas en production les secrets en clair dans les nœuds :</w:t>
      </w:r>
    </w:p>
    <w:p>
      <w:pPr>
        <w:pStyle w:val="ListBullet"/>
        <w:spacing w:after="40"/>
      </w:pPr>
      <w:r>
        <w:t>OpenAI API key</w:t>
      </w:r>
    </w:p>
    <w:p>
      <w:pPr>
        <w:pStyle w:val="ListBullet"/>
        <w:spacing w:after="40"/>
      </w:pPr>
      <w:r>
        <w:t>Supabase service role key</w:t>
      </w:r>
    </w:p>
    <w:p>
      <w:pPr>
        <w:pStyle w:val="ListBullet"/>
        <w:spacing w:after="40"/>
      </w:pPr>
      <w:r>
        <w:t>Resend API key</w:t>
      </w:r>
    </w:p>
    <w:p>
      <w:pPr>
        <w:spacing w:after="120"/>
      </w:pPr>
      <w:r>
        <w:t>Ils doivent être placés dans :</w:t>
      </w:r>
    </w:p>
    <w:p>
      <w:pPr>
        <w:pStyle w:val="ListBullet"/>
        <w:spacing w:after="40"/>
      </w:pPr>
      <w:r>
        <w:t>les Credentials n8n</w:t>
      </w:r>
    </w:p>
    <w:p>
      <w:pPr>
        <w:pStyle w:val="ListBullet"/>
        <w:spacing w:after="40"/>
      </w:pPr>
      <w:r>
        <w:t>ou les variables d’environnement</w:t>
      </w:r>
    </w:p>
    <w:p>
      <w:pPr>
        <w:pStyle w:val="Heading1"/>
        <w:spacing w:before="200" w:after="60"/>
      </w:pPr>
      <w:r>
        <w:t>5. Ordre d’exploitation recommandé</w:t>
      </w:r>
    </w:p>
    <w:p>
      <w:pPr>
        <w:spacing w:after="120"/>
      </w:pPr>
      <w:r>
        <w:t>L’ordre recommandé est le suivant :</w:t>
      </w:r>
    </w:p>
    <w:p>
      <w:pPr>
        <w:pStyle w:val="ListNumber"/>
        <w:spacing w:after="40"/>
      </w:pPr>
      <w:r>
        <w:t>préparer ou recevoir les données prospect</w:t>
      </w:r>
    </w:p>
    <w:p>
      <w:pPr>
        <w:pStyle w:val="ListNumber"/>
        <w:spacing w:after="40"/>
      </w:pPr>
      <w:r>
        <w:t>lancer la génération du pack</w:t>
      </w:r>
    </w:p>
    <w:p>
      <w:pPr>
        <w:pStyle w:val="ListNumber"/>
        <w:spacing w:after="40"/>
      </w:pPr>
      <w:r>
        <w:t>stocker le pack en base</w:t>
      </w:r>
    </w:p>
    <w:p>
      <w:pPr>
        <w:pStyle w:val="ListNumber"/>
        <w:spacing w:after="40"/>
      </w:pPr>
      <w:r>
        <w:t>valider le pack en interne</w:t>
      </w:r>
    </w:p>
    <w:p>
      <w:pPr>
        <w:pStyle w:val="ListNumber"/>
        <w:spacing w:after="40"/>
      </w:pPr>
      <w:r>
        <w:t>approuver ou rejeter</w:t>
      </w:r>
    </w:p>
    <w:p>
      <w:pPr>
        <w:pStyle w:val="ListNumber"/>
        <w:spacing w:after="40"/>
      </w:pPr>
      <w:r>
        <w:t>envoyer au prospect si approuvé</w:t>
      </w:r>
    </w:p>
    <w:p>
      <w:pPr>
        <w:pStyle w:val="ListNumber"/>
        <w:spacing w:after="40"/>
      </w:pPr>
      <w:r>
        <w:t>attendre la soumission du formulaire d’audit</w:t>
      </w:r>
    </w:p>
    <w:p>
      <w:pPr>
        <w:pStyle w:val="ListNumber"/>
        <w:spacing w:after="40"/>
      </w:pPr>
      <w:r>
        <w:t>traiter ensuite le post-audit</w:t>
      </w:r>
    </w:p>
    <w:p>
      <w:pPr>
        <w:pStyle w:val="Heading1"/>
        <w:spacing w:before="200" w:after="60"/>
      </w:pPr>
      <w:r>
        <w:t>6. Guide nœud par nœud</w:t>
      </w:r>
    </w:p>
    <w:p>
      <w:pPr>
        <w:pStyle w:val="Heading1"/>
        <w:spacing w:before="200" w:after="60"/>
      </w:pPr>
      <w:r>
        <w:t>6.1 Déclencheurs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Manual Trigger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lancer le workflow à la main</w:t>
      </w:r>
    </w:p>
    <w:p>
      <w:pPr>
        <w:spacing w:after="120"/>
      </w:pPr>
      <w:r>
        <w:rPr>
          <w:b/>
        </w:rPr>
        <w:t>Quand l’utiliser</w:t>
      </w:r>
    </w:p>
    <w:p>
      <w:pPr>
        <w:pStyle w:val="ListBullet"/>
        <w:spacing w:after="40"/>
      </w:pPr>
      <w:r>
        <w:t>test manuel</w:t>
      </w:r>
    </w:p>
    <w:p>
      <w:pPr>
        <w:pStyle w:val="ListBullet"/>
        <w:spacing w:after="40"/>
      </w:pPr>
      <w:r>
        <w:t>démonstration</w:t>
      </w:r>
    </w:p>
    <w:p>
      <w:pPr>
        <w:pStyle w:val="ListBullet"/>
        <w:spacing w:after="40"/>
      </w:pPr>
      <w:r>
        <w:t>recette fonctionnelle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Execute Workflow Trigger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permettre un appel par un autre workflow n8n</w:t>
      </w:r>
    </w:p>
    <w:p>
      <w:pPr>
        <w:spacing w:after="120"/>
      </w:pPr>
      <w:r>
        <w:rPr>
          <w:b/>
        </w:rPr>
        <w:t>Quand l’utiliser</w:t>
      </w:r>
    </w:p>
    <w:p>
      <w:pPr>
        <w:pStyle w:val="ListBullet"/>
        <w:spacing w:after="40"/>
      </w:pPr>
      <w:r>
        <w:t>intégration CRM</w:t>
      </w:r>
    </w:p>
    <w:p>
      <w:pPr>
        <w:pStyle w:val="ListBullet"/>
        <w:spacing w:after="40"/>
      </w:pPr>
      <w:r>
        <w:t>appels batch depuis un workflow parent</w:t>
      </w:r>
    </w:p>
    <w:p>
      <w:pPr>
        <w:pStyle w:val="Heading1"/>
        <w:spacing w:before="200" w:after="60"/>
      </w:pPr>
      <w:r>
        <w:t>6.2 Préparation des données prospect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Set Target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normaliser les champs entrants du prospect</w:t>
      </w:r>
    </w:p>
    <w:p>
      <w:pPr>
        <w:pStyle w:val="ListBullet"/>
        <w:spacing w:after="40"/>
      </w:pPr>
      <w:r>
        <w:t>fixer les valeurs minimales utilisées par les nœuds suivants</w:t>
      </w:r>
    </w:p>
    <w:p>
      <w:pPr>
        <w:spacing w:after="120"/>
      </w:pPr>
      <w:r>
        <w:rPr>
          <w:b/>
        </w:rPr>
        <w:t>Points de configuration importants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website</w:t>
      </w:r>
      <w:r>
        <w:t xml:space="preserve"> doit être une vraie URL ou une chaîne vide</w:t>
      </w:r>
    </w:p>
    <w:p>
      <w:pPr>
        <w:pStyle w:val="ListBullet"/>
        <w:spacing w:after="40"/>
      </w:pPr>
      <w:r>
        <w:t xml:space="preserve">ne jamais mettre </w:t>
      </w:r>
      <w:r>
        <w:rPr>
          <w:rFonts w:ascii="Courier New" w:hAnsi="Courier New"/>
          <w:sz w:val="20"/>
        </w:rPr>
        <w:t>auto</w:t>
      </w:r>
      <w:r>
        <w:t xml:space="preserve"> dans </w:t>
      </w:r>
      <w:r>
        <w:rPr>
          <w:rFonts w:ascii="Courier New" w:hAnsi="Courier New"/>
          <w:sz w:val="20"/>
        </w:rPr>
        <w:t>website</w:t>
      </w:r>
    </w:p>
    <w:p>
      <w:pPr>
        <w:spacing w:after="120"/>
      </w:pPr>
      <w:r>
        <w:rPr>
          <w:b/>
        </w:rPr>
        <w:t>Valeur recommandée pour `website`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js</w:t>
      </w:r>
    </w:p>
    <w:p>
      <w:pPr>
        <w:spacing w:after="120"/>
      </w:pPr>
      <w:r>
        <w:t>{{$json.website || ''}}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rPr>
          <w:b/>
        </w:rPr>
        <w:t>Pourquoi ce nœud est critique</w:t>
      </w:r>
    </w:p>
    <w:p>
      <w:pPr>
        <w:spacing w:after="120"/>
      </w:pPr>
      <w:r>
        <w:t>Parce qu’il fixe les données de base qui serviront à :</w:t>
      </w:r>
    </w:p>
    <w:p>
      <w:pPr>
        <w:pStyle w:val="ListBullet"/>
        <w:spacing w:after="40"/>
      </w:pPr>
      <w:r>
        <w:t>construire les URLs publiques</w:t>
      </w:r>
    </w:p>
    <w:p>
      <w:pPr>
        <w:pStyle w:val="ListBullet"/>
        <w:spacing w:after="40"/>
      </w:pPr>
      <w:r>
        <w:t>appeler les modèles OpenAI</w:t>
      </w:r>
    </w:p>
    <w:p>
      <w:pPr>
        <w:pStyle w:val="ListBullet"/>
        <w:spacing w:after="40"/>
      </w:pPr>
      <w:r>
        <w:t>générer la lettre</w:t>
      </w:r>
    </w:p>
    <w:p>
      <w:pPr>
        <w:pStyle w:val="ListBullet"/>
        <w:spacing w:after="40"/>
      </w:pPr>
      <w:r>
        <w:t>stocker le pack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Build Source URLs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Code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construire jusqu’à 5 URLs publiques à analyser</w:t>
      </w:r>
    </w:p>
    <w:p>
      <w:pPr>
        <w:pStyle w:val="ListBullet"/>
        <w:spacing w:after="40"/>
      </w:pPr>
      <w:r>
        <w:t>partir du site web du prospect</w:t>
      </w:r>
    </w:p>
    <w:p>
      <w:pPr>
        <w:pStyle w:val="ListBullet"/>
        <w:spacing w:after="40"/>
      </w:pPr>
      <w:r>
        <w:t xml:space="preserve">prioriser certaines pages : </w:t>
      </w:r>
      <w:r>
        <w:rPr>
          <w:rFonts w:ascii="Courier New" w:hAnsi="Courier New"/>
          <w:sz w:val="20"/>
        </w:rPr>
        <w:t>/</w:t>
      </w:r>
      <w:r>
        <w:t xml:space="preserve">, </w:t>
      </w:r>
      <w:r>
        <w:rPr>
          <w:rFonts w:ascii="Courier New" w:hAnsi="Courier New"/>
          <w:sz w:val="20"/>
        </w:rPr>
        <w:t>/a-propos/</w:t>
      </w:r>
      <w:r>
        <w:t xml:space="preserve">, </w:t>
      </w:r>
      <w:r>
        <w:rPr>
          <w:rFonts w:ascii="Courier New" w:hAnsi="Courier New"/>
          <w:sz w:val="20"/>
        </w:rPr>
        <w:t>/services/</w:t>
      </w:r>
      <w:r>
        <w:t>, etc.</w:t>
      </w:r>
    </w:p>
    <w:p>
      <w:pPr>
        <w:spacing w:after="120"/>
      </w:pPr>
      <w:r>
        <w:rPr>
          <w:b/>
        </w:rPr>
        <w:t>Entrées utilisées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website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custom_page_paths_csv</w:t>
      </w:r>
    </w:p>
    <w:p>
      <w:pPr>
        <w:spacing w:after="120"/>
      </w:pPr>
      <w:r>
        <w:rPr>
          <w:b/>
        </w:rPr>
        <w:t>Sorties produites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source_pages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page_1_url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page_2_url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page_3_url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page_4_url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page_5_url</w:t>
      </w:r>
    </w:p>
    <w:p>
      <w:pPr>
        <w:spacing w:after="120"/>
      </w:pPr>
      <w:r>
        <w:rPr>
          <w:b/>
        </w:rPr>
        <w:t>Point de vigilance</w:t>
      </w:r>
    </w:p>
    <w:p>
      <w:pPr>
        <w:spacing w:after="120"/>
      </w:pPr>
      <w:r>
        <w:t xml:space="preserve">Si </w:t>
      </w:r>
      <w:r>
        <w:rPr>
          <w:rFonts w:ascii="Courier New" w:hAnsi="Courier New"/>
          <w:sz w:val="20"/>
        </w:rPr>
        <w:t>website</w:t>
      </w:r>
      <w:r>
        <w:t xml:space="preserve"> est vide, les nœuds </w:t>
      </w:r>
      <w:r>
        <w:rPr>
          <w:rFonts w:ascii="Courier New" w:hAnsi="Courier New"/>
          <w:sz w:val="20"/>
        </w:rPr>
        <w:t>Fetch Public Page</w:t>
      </w:r>
      <w:r>
        <w:t xml:space="preserve"> échouent ensuite.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Fetch Public Page 1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Fetch Public Page 2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Fetch Public Page 3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Fetch Public Page 4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Fetch Public Page 5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 Request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récupérer le contenu HTML brut des pages publiques identifiées</w:t>
      </w:r>
    </w:p>
    <w:p>
      <w:pPr>
        <w:spacing w:after="120"/>
      </w:pPr>
      <w:r>
        <w:rPr>
          <w:b/>
        </w:rPr>
        <w:t>Configuration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Method = GET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Response format = text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Never Error = true</w:t>
      </w:r>
    </w:p>
    <w:p>
      <w:pPr>
        <w:spacing w:after="120"/>
      </w:pPr>
      <w:r>
        <w:rPr>
          <w:b/>
        </w:rPr>
        <w:t>Pourquoi il y en a cinq</w:t>
      </w:r>
    </w:p>
    <w:p>
      <w:pPr>
        <w:spacing w:after="120"/>
      </w:pPr>
      <w:r>
        <w:t>Le workflow lit plusieurs pages pour :</w:t>
      </w:r>
    </w:p>
    <w:p>
      <w:pPr>
        <w:pStyle w:val="ListBullet"/>
        <w:spacing w:after="40"/>
      </w:pPr>
      <w:r>
        <w:t>comprendre l’activité du prospect</w:t>
      </w:r>
    </w:p>
    <w:p>
      <w:pPr>
        <w:pStyle w:val="ListBullet"/>
        <w:spacing w:after="40"/>
      </w:pPr>
      <w:r>
        <w:t>capter les mots-clés métier</w:t>
      </w:r>
    </w:p>
    <w:p>
      <w:pPr>
        <w:pStyle w:val="ListBullet"/>
        <w:spacing w:after="40"/>
      </w:pPr>
      <w:r>
        <w:t>enrichir la qualification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Normalize Public Signals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Code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nettoyer les pages HTML</w:t>
      </w:r>
    </w:p>
    <w:p>
      <w:pPr>
        <w:pStyle w:val="ListBullet"/>
        <w:spacing w:after="40"/>
      </w:pPr>
      <w:r>
        <w:t>transformer le HTML en texte lisible</w:t>
      </w:r>
    </w:p>
    <w:p>
      <w:pPr>
        <w:pStyle w:val="ListBullet"/>
        <w:spacing w:after="40"/>
      </w:pPr>
      <w:r>
        <w:t>agréger les extraits utiles</w:t>
      </w:r>
    </w:p>
    <w:p>
      <w:pPr>
        <w:pStyle w:val="ListBullet"/>
        <w:spacing w:after="40"/>
      </w:pPr>
      <w:r>
        <w:t>produire des indices métiers et ROI</w:t>
      </w:r>
    </w:p>
    <w:p>
      <w:pPr>
        <w:spacing w:after="120"/>
      </w:pPr>
      <w:r>
        <w:rPr>
          <w:b/>
        </w:rPr>
        <w:t>Sorties importantes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page_texts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public_text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roi_clues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Sanitize Prospect Data For LLM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Code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préparer une version pseudonymisée et contrôlée des données</w:t>
      </w:r>
    </w:p>
    <w:p>
      <w:pPr>
        <w:pStyle w:val="ListBullet"/>
        <w:spacing w:after="40"/>
      </w:pPr>
      <w:r>
        <w:t>limiter l’exposition d’informations sensibles avant appel OpenAI</w:t>
      </w:r>
    </w:p>
    <w:p>
      <w:pPr>
        <w:spacing w:after="120"/>
      </w:pPr>
      <w:r>
        <w:rPr>
          <w:b/>
        </w:rPr>
        <w:t>Sorties importantes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llm_allowed_payload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llm_generation_payload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llm_redaction_summary</w:t>
      </w:r>
    </w:p>
    <w:p>
      <w:pPr>
        <w:pStyle w:val="Heading1"/>
        <w:spacing w:before="200" w:after="60"/>
      </w:pPr>
      <w:r>
        <w:t>6.3 Qualification et enrichissement IA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Call OpenAI Pre-Audit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 Request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générer une première lecture structurée du prospect</w:t>
      </w:r>
    </w:p>
    <w:p>
      <w:pPr>
        <w:pStyle w:val="ListBullet"/>
        <w:spacing w:after="40"/>
      </w:pPr>
      <w:r>
        <w:t>proposer les hypothèses initiales d’analyse</w:t>
      </w:r>
    </w:p>
    <w:p>
      <w:pPr>
        <w:spacing w:after="120"/>
      </w:pPr>
      <w:r>
        <w:rPr>
          <w:b/>
        </w:rPr>
        <w:t>Sorties attendues</w:t>
      </w:r>
    </w:p>
    <w:p>
      <w:pPr>
        <w:pStyle w:val="ListBullet"/>
        <w:spacing w:after="40"/>
      </w:pPr>
      <w:r>
        <w:t>type d’organisation</w:t>
      </w:r>
    </w:p>
    <w:p>
      <w:pPr>
        <w:pStyle w:val="ListBullet"/>
        <w:spacing w:after="40"/>
      </w:pPr>
      <w:r>
        <w:t>contexte métier</w:t>
      </w:r>
    </w:p>
    <w:p>
      <w:pPr>
        <w:pStyle w:val="ListBullet"/>
        <w:spacing w:after="40"/>
      </w:pPr>
      <w:r>
        <w:t>besoins probables</w:t>
      </w:r>
    </w:p>
    <w:p>
      <w:pPr>
        <w:pStyle w:val="ListBullet"/>
        <w:spacing w:after="40"/>
      </w:pPr>
      <w:r>
        <w:t>premiers angles d’audit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Call OpenAI Problems Solutions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 Request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relier les signaux publics à des problèmes probables</w:t>
      </w:r>
    </w:p>
    <w:p>
      <w:pPr>
        <w:pStyle w:val="ListBullet"/>
        <w:spacing w:after="40"/>
      </w:pPr>
      <w:r>
        <w:t>faire émerger des quick wins et des cas d’usage crédibles</w:t>
      </w:r>
    </w:p>
    <w:p>
      <w:pPr>
        <w:spacing w:after="120"/>
      </w:pPr>
      <w:r>
        <w:rPr>
          <w:b/>
        </w:rPr>
        <w:t>Sorties attendues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probable_problems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probable_quick_wins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recommended_use_case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best_selling_use_case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Call OpenAI ROI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 Request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produire des hypothèses prudentes de gains, de ROI, d’amélioration de service et de temps économisé</w:t>
      </w:r>
    </w:p>
    <w:p>
      <w:pPr>
        <w:spacing w:after="120"/>
      </w:pPr>
      <w:r>
        <w:rPr>
          <w:b/>
        </w:rPr>
        <w:t>Sorties attendues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roi_hypothesis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expected_time_savings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expected_service_improvements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expected_quick_wins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Assemble Prospect Context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Code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fusionner les données prospect, les signaux publics et les sorties OpenAI</w:t>
      </w:r>
    </w:p>
    <w:p>
      <w:pPr>
        <w:pStyle w:val="ListBullet"/>
        <w:spacing w:after="40"/>
      </w:pPr>
      <w:r>
        <w:t>produire un contexte métier unique et propre</w:t>
      </w:r>
    </w:p>
    <w:p>
      <w:pPr>
        <w:spacing w:after="120"/>
      </w:pPr>
      <w:r>
        <w:rPr>
          <w:b/>
        </w:rPr>
        <w:t>Sorties importantes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organization_summary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entry_point_niche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recommended_offer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recommended_training_bundle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commercial_priority_tier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recommended_meeting_angle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sector_pitches</w:t>
      </w:r>
    </w:p>
    <w:p>
      <w:pPr>
        <w:pStyle w:val="Heading1"/>
        <w:spacing w:before="200" w:after="60"/>
      </w:pPr>
      <w:r>
        <w:t>6.4 Génération des contenus du pack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Generate Executive Letter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 Request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produire le courrier exécutif principal</w:t>
      </w:r>
    </w:p>
    <w:p>
      <w:pPr>
        <w:spacing w:after="120"/>
      </w:pPr>
      <w:r>
        <w:rPr>
          <w:b/>
        </w:rPr>
        <w:t>Évolution récente</w:t>
      </w:r>
    </w:p>
    <w:p>
      <w:pPr>
        <w:spacing w:after="120"/>
      </w:pPr>
      <w:r>
        <w:t>Avant :</w:t>
      </w:r>
    </w:p>
    <w:p>
      <w:pPr>
        <w:pStyle w:val="ListBullet"/>
        <w:spacing w:after="40"/>
      </w:pPr>
      <w:r>
        <w:t xml:space="preserve">le prompt utilisait un lien fixe vers </w:t>
      </w:r>
      <w:r>
        <w:rPr>
          <w:rFonts w:ascii="Courier New" w:hAnsi="Courier New"/>
          <w:sz w:val="20"/>
        </w:rPr>
        <w:t>https://audit.transferai.ci/</w:t>
      </w:r>
    </w:p>
    <w:p>
      <w:pPr>
        <w:spacing w:after="120"/>
      </w:pPr>
      <w:r>
        <w:t>Maintenant :</w:t>
      </w:r>
    </w:p>
    <w:p>
      <w:pPr>
        <w:pStyle w:val="ListBullet"/>
        <w:spacing w:after="40"/>
      </w:pPr>
      <w:r>
        <w:t xml:space="preserve">il utilise un token dynamique </w:t>
      </w:r>
      <w:r>
        <w:rPr>
          <w:rFonts w:ascii="Courier New" w:hAnsi="Courier New"/>
          <w:sz w:val="20"/>
        </w:rPr>
        <w:t>{{AUDIT_FORM_URL}}</w:t>
      </w:r>
    </w:p>
    <w:p>
      <w:pPr>
        <w:spacing w:after="120"/>
      </w:pPr>
      <w:r>
        <w:rPr>
          <w:b/>
        </w:rPr>
        <w:t>But</w:t>
      </w:r>
    </w:p>
    <w:p>
      <w:pPr>
        <w:pStyle w:val="ListBullet"/>
        <w:spacing w:after="40"/>
      </w:pPr>
      <w:r>
        <w:t>chaque prospect reçoit un lien d’audit individualisé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Generate Tailored Catalogue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 Request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produire un mini-catalogue ciblé par secteur et par besoin</w:t>
      </w:r>
    </w:p>
    <w:p>
      <w:pPr>
        <w:spacing w:after="120"/>
      </w:pPr>
      <w:r>
        <w:rPr>
          <w:b/>
        </w:rPr>
        <w:t>Contenu attendu</w:t>
      </w:r>
    </w:p>
    <w:p>
      <w:pPr>
        <w:pStyle w:val="ListBullet"/>
        <w:spacing w:after="40"/>
      </w:pPr>
      <w:r>
        <w:t>synthèse exécutive</w:t>
      </w:r>
    </w:p>
    <w:p>
      <w:pPr>
        <w:pStyle w:val="ListBullet"/>
        <w:spacing w:after="40"/>
      </w:pPr>
      <w:r>
        <w:t>priorités métier</w:t>
      </w:r>
    </w:p>
    <w:p>
      <w:pPr>
        <w:pStyle w:val="ListBullet"/>
        <w:spacing w:after="40"/>
      </w:pPr>
      <w:r>
        <w:t>cas d’usage</w:t>
      </w:r>
    </w:p>
    <w:p>
      <w:pPr>
        <w:pStyle w:val="ListBullet"/>
        <w:spacing w:after="40"/>
      </w:pPr>
      <w:r>
        <w:t>formation</w:t>
      </w:r>
    </w:p>
    <w:p>
      <w:pPr>
        <w:pStyle w:val="ListBullet"/>
        <w:spacing w:after="40"/>
      </w:pPr>
      <w:r>
        <w:t>gouvernance</w:t>
      </w:r>
    </w:p>
    <w:p>
      <w:pPr>
        <w:pStyle w:val="ListBullet"/>
        <w:spacing w:after="40"/>
      </w:pPr>
      <w:r>
        <w:t>accompagnement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Generate Tailored Audit Form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 Request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générer une version texte / conceptuelle du formulaire d’audit ciblé</w:t>
      </w:r>
    </w:p>
    <w:p>
      <w:pPr>
        <w:spacing w:after="120"/>
      </w:pPr>
      <w:r>
        <w:rPr>
          <w:b/>
        </w:rPr>
        <w:t>Note</w:t>
      </w:r>
    </w:p>
    <w:p>
      <w:pPr>
        <w:spacing w:after="120"/>
      </w:pPr>
      <w:r>
        <w:t>Le vrai formulaire dynamique frontend va plus loin que ce texte.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Generate Deck Brief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 Request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générer le brief structuré du deck PowerPoint prospect</w:t>
      </w:r>
    </w:p>
    <w:p>
      <w:pPr>
        <w:spacing w:after="120"/>
      </w:pPr>
      <w:r>
        <w:rPr>
          <w:b/>
        </w:rPr>
        <w:t>Sortie</w:t>
      </w:r>
    </w:p>
    <w:p>
      <w:pPr>
        <w:pStyle w:val="ListBullet"/>
        <w:spacing w:after="40"/>
      </w:pPr>
      <w:r>
        <w:t>JSON propre avec objectifs, messages, cas d’usage, timeline et CTA</w:t>
      </w:r>
    </w:p>
    <w:p>
      <w:pPr>
        <w:pStyle w:val="Heading1"/>
        <w:spacing w:before="200" w:after="60"/>
      </w:pPr>
      <w:r>
        <w:t>6.5 Construction du pack dynamique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Assemble Prospect Pack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Code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construire le pack final</w:t>
      </w:r>
    </w:p>
    <w:p>
      <w:pPr>
        <w:pStyle w:val="ListBullet"/>
        <w:spacing w:after="40"/>
      </w:pPr>
      <w:r>
        <w:t xml:space="preserve">générer le </w:t>
      </w: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t xml:space="preserve">créer </w:t>
      </w:r>
      <w:r>
        <w:rPr>
          <w:rFonts w:ascii="Courier New" w:hAnsi="Courier New"/>
          <w:sz w:val="20"/>
        </w:rPr>
        <w:t>audit_form_url</w:t>
      </w:r>
    </w:p>
    <w:p>
      <w:pPr>
        <w:pStyle w:val="ListBullet"/>
        <w:spacing w:after="40"/>
      </w:pPr>
      <w:r>
        <w:t>hydrater les tokens</w:t>
      </w:r>
    </w:p>
    <w:p>
      <w:pPr>
        <w:pStyle w:val="ListBullet"/>
        <w:spacing w:after="40"/>
      </w:pPr>
      <w:r>
        <w:t xml:space="preserve">produire </w:t>
      </w:r>
      <w:r>
        <w:rPr>
          <w:rFonts w:ascii="Courier New" w:hAnsi="Courier New"/>
          <w:sz w:val="20"/>
        </w:rPr>
        <w:t>executive_letter_html</w:t>
      </w:r>
    </w:p>
    <w:p>
      <w:pPr>
        <w:spacing w:after="120"/>
      </w:pPr>
      <w:r>
        <w:rPr>
          <w:b/>
        </w:rPr>
        <w:t>Changement majeur</w:t>
      </w:r>
    </w:p>
    <w:p>
      <w:pPr>
        <w:spacing w:after="120"/>
      </w:pPr>
      <w:r>
        <w:t>Ce nœud remplace désormais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{{ORGANIZATION_NAME}}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{{DECISION_MAKER_NAME}}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{{WEBSITE}}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{{AUDIT_FORM_URL}}</w:t>
      </w:r>
    </w:p>
    <w:p>
      <w:pPr>
        <w:spacing w:after="120"/>
      </w:pPr>
      <w:r>
        <w:rPr>
          <w:b/>
        </w:rPr>
        <w:t>Sorties critiques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audit_form_url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executive_letter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executive_letter_html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tailored_catalogue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tailored_audit_form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deck_brief</w:t>
      </w:r>
    </w:p>
    <w:p>
      <w:pPr>
        <w:pStyle w:val="Heading1"/>
        <w:spacing w:before="200" w:after="60"/>
      </w:pPr>
      <w:r>
        <w:t>6.6 Stockage et revue interne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Store Pack In Supabase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 Request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 xml:space="preserve">enregistrer le pack complet dans </w:t>
      </w:r>
      <w:r>
        <w:rPr>
          <w:rFonts w:ascii="Courier New" w:hAnsi="Courier New"/>
          <w:sz w:val="20"/>
        </w:rPr>
        <w:t>ai_prospecting_packs</w:t>
      </w:r>
    </w:p>
    <w:p>
      <w:pPr>
        <w:spacing w:after="120"/>
      </w:pPr>
      <w:r>
        <w:rPr>
          <w:b/>
        </w:rPr>
        <w:t>Configuration logique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payload: $json</w:t>
      </w:r>
      <w:r>
        <w:t xml:space="preserve"> doit être conservé</w:t>
      </w:r>
    </w:p>
    <w:p>
      <w:pPr>
        <w:spacing w:after="120"/>
      </w:pPr>
      <w:r>
        <w:rPr>
          <w:b/>
        </w:rPr>
        <w:t>Pourquoi c’est important</w:t>
      </w:r>
    </w:p>
    <w:p>
      <w:pPr>
        <w:spacing w:after="120"/>
      </w:pPr>
      <w:r>
        <w:t xml:space="preserve">Parce que tout le flux d’approbation relit ensuite ce </w:t>
      </w:r>
      <w:r>
        <w:rPr>
          <w:rFonts w:ascii="Courier New" w:hAnsi="Courier New"/>
          <w:sz w:val="20"/>
        </w:rPr>
        <w:t>payload</w:t>
      </w:r>
      <w:r>
        <w:t>.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Build Approval Email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Code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construire l’email de validation interne</w:t>
      </w:r>
    </w:p>
    <w:p>
      <w:pPr>
        <w:spacing w:after="120"/>
      </w:pPr>
      <w:r>
        <w:rPr>
          <w:b/>
        </w:rPr>
        <w:t>Ce qu’il affiche</w:t>
      </w:r>
    </w:p>
    <w:p>
      <w:pPr>
        <w:pStyle w:val="ListBullet"/>
        <w:spacing w:after="40"/>
      </w:pPr>
      <w:r>
        <w:t>organisation</w:t>
      </w:r>
    </w:p>
    <w:p>
      <w:pPr>
        <w:pStyle w:val="ListBullet"/>
        <w:spacing w:after="40"/>
      </w:pPr>
      <w:r>
        <w:t>email cible</w:t>
      </w:r>
    </w:p>
    <w:p>
      <w:pPr>
        <w:pStyle w:val="ListBullet"/>
        <w:spacing w:after="40"/>
      </w:pPr>
      <w:r>
        <w:t>cas d’usage</w:t>
      </w:r>
    </w:p>
    <w:p>
      <w:pPr>
        <w:pStyle w:val="ListBullet"/>
        <w:spacing w:after="40"/>
      </w:pPr>
      <w:r>
        <w:t>offre recommandée</w:t>
      </w:r>
    </w:p>
    <w:p>
      <w:pPr>
        <w:pStyle w:val="ListBullet"/>
        <w:spacing w:after="40"/>
      </w:pPr>
      <w:r>
        <w:t>tier commercial</w:t>
      </w:r>
    </w:p>
    <w:p>
      <w:pPr>
        <w:pStyle w:val="ListBullet"/>
        <w:spacing w:after="40"/>
      </w:pPr>
      <w:r>
        <w:t>lien dynamique du formulaire</w:t>
      </w:r>
    </w:p>
    <w:p>
      <w:pPr>
        <w:pStyle w:val="ListBullet"/>
        <w:spacing w:after="40"/>
      </w:pPr>
      <w:r>
        <w:t>pack id</w:t>
      </w:r>
    </w:p>
    <w:p>
      <w:pPr>
        <w:pStyle w:val="ListBullet"/>
        <w:spacing w:after="40"/>
      </w:pPr>
      <w:r>
        <w:t>liens d’approbation et de rejet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Send Internal Approval Email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 Request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envoyer l’email de revue interne via Resend</w:t>
      </w:r>
    </w:p>
    <w:p>
      <w:pPr>
        <w:pStyle w:val="Heading1"/>
        <w:spacing w:before="200" w:after="60"/>
      </w:pPr>
      <w:r>
        <w:t>6.7 Parcours d’approbation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Approval Webhook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Webhook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 xml:space="preserve">recevoir la décision </w:t>
      </w:r>
      <w:r>
        <w:rPr>
          <w:rFonts w:ascii="Courier New" w:hAnsi="Courier New"/>
          <w:sz w:val="20"/>
        </w:rPr>
        <w:t>approved</w:t>
      </w:r>
      <w:r>
        <w:t xml:space="preserve"> ou </w:t>
      </w:r>
      <w:r>
        <w:rPr>
          <w:rFonts w:ascii="Courier New" w:hAnsi="Courier New"/>
          <w:sz w:val="20"/>
        </w:rPr>
        <w:t>rejected</w:t>
      </w:r>
    </w:p>
    <w:p>
      <w:pPr>
        <w:spacing w:after="120"/>
      </w:pPr>
      <w:r>
        <w:rPr>
          <w:b/>
        </w:rPr>
        <w:t>Paramètres attendus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decision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Parse Approval Query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Code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lire les query params du webhook</w:t>
      </w:r>
    </w:p>
    <w:p>
      <w:pPr>
        <w:pStyle w:val="ListBullet"/>
        <w:spacing w:after="40"/>
      </w:pPr>
      <w:r>
        <w:t>normaliser la décision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Get Pack From Supabase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 Request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 xml:space="preserve">relire en base le pack correspondant au </w:t>
      </w:r>
      <w:r>
        <w:rPr>
          <w:rFonts w:ascii="Courier New" w:hAnsi="Courier New"/>
          <w:sz w:val="20"/>
        </w:rPr>
        <w:t>pack_id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Extract Pack Payload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Code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 xml:space="preserve">réextraire les champs utiles du </w:t>
      </w:r>
      <w:r>
        <w:rPr>
          <w:rFonts w:ascii="Courier New" w:hAnsi="Courier New"/>
          <w:sz w:val="20"/>
        </w:rPr>
        <w:t>payload</w:t>
      </w:r>
    </w:p>
    <w:p>
      <w:pPr>
        <w:pStyle w:val="ListBullet"/>
        <w:spacing w:after="40"/>
      </w:pPr>
      <w:r>
        <w:t>réinjecter le pack dans le flux d’envoi</w:t>
      </w:r>
    </w:p>
    <w:p>
      <w:pPr>
        <w:spacing w:after="120"/>
      </w:pPr>
      <w:r>
        <w:rPr>
          <w:b/>
        </w:rPr>
        <w:t>Champs importants remontés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audit_form_url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recommended_offer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recommended_use_case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commercial_priority_tier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executive_letter_html</w:t>
      </w:r>
    </w:p>
    <w:p>
      <w:pPr>
        <w:spacing w:after="120"/>
      </w:pPr>
      <w:r>
        <w:rPr>
          <w:b/>
        </w:rPr>
        <w:t>Point de compréhension</w:t>
      </w:r>
    </w:p>
    <w:p>
      <w:pPr>
        <w:spacing w:after="120"/>
      </w:pPr>
      <w:r>
        <w:t>Ce nœud ne retourne rien tant que le webhook d’approbation n’a pas été exécuté.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If Approved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If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séparer le chemin :</w:t>
      </w:r>
    </w:p>
    <w:p>
      <w:pPr>
        <w:pStyle w:val="ListBullet"/>
        <w:spacing w:after="40"/>
      </w:pPr>
      <w:r>
        <w:t>approuvé</w:t>
      </w:r>
    </w:p>
    <w:p>
      <w:pPr>
        <w:pStyle w:val="ListBullet"/>
        <w:spacing w:after="40"/>
      </w:pPr>
      <w:r>
        <w:t>rejeté</w:t>
      </w:r>
    </w:p>
    <w:p>
      <w:pPr>
        <w:pStyle w:val="Heading1"/>
        <w:spacing w:before="200" w:after="60"/>
      </w:pPr>
      <w:r>
        <w:t>6.8 Préparation de l’envoi externe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Build Send Context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Code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reconstruire les pièces jointes</w:t>
      </w:r>
    </w:p>
    <w:p>
      <w:pPr>
        <w:pStyle w:val="ListBullet"/>
        <w:spacing w:after="40"/>
      </w:pPr>
      <w:r>
        <w:t>valider le minimum d’envoi</w:t>
      </w:r>
    </w:p>
    <w:p>
      <w:pPr>
        <w:pStyle w:val="ListBullet"/>
        <w:spacing w:after="40"/>
      </w:pPr>
      <w:r>
        <w:t xml:space="preserve">propager </w:t>
      </w:r>
      <w:r>
        <w:rPr>
          <w:rFonts w:ascii="Courier New" w:hAnsi="Courier New"/>
          <w:sz w:val="20"/>
        </w:rPr>
        <w:t>audit_form_url</w:t>
      </w:r>
    </w:p>
    <w:p>
      <w:pPr>
        <w:spacing w:after="120"/>
      </w:pPr>
      <w:r>
        <w:rPr>
          <w:b/>
        </w:rPr>
        <w:t>Ce que ce nœud vérifie</w:t>
      </w:r>
    </w:p>
    <w:p>
      <w:pPr>
        <w:pStyle w:val="ListBullet"/>
        <w:spacing w:after="40"/>
      </w:pPr>
      <w:r>
        <w:t>email cible présent</w:t>
      </w:r>
    </w:p>
    <w:p>
      <w:pPr>
        <w:pStyle w:val="ListBullet"/>
        <w:spacing w:after="40"/>
      </w:pPr>
      <w:r>
        <w:t>lettre non vide</w:t>
      </w:r>
    </w:p>
    <w:p>
      <w:pPr>
        <w:pStyle w:val="ListBullet"/>
        <w:spacing w:after="40"/>
      </w:pPr>
      <w:r>
        <w:t>exactement 2 pièces jointes</w:t>
      </w:r>
    </w:p>
    <w:p>
      <w:pPr>
        <w:pStyle w:val="ListBullet"/>
        <w:spacing w:after="40"/>
      </w:pPr>
      <w:r>
        <w:t>1 PDF</w:t>
      </w:r>
    </w:p>
    <w:p>
      <w:pPr>
        <w:pStyle w:val="ListBullet"/>
        <w:spacing w:after="40"/>
      </w:pPr>
      <w:r>
        <w:t>1 PPTX</w:t>
      </w:r>
    </w:p>
    <w:p>
      <w:pPr>
        <w:spacing w:after="120"/>
      </w:pPr>
      <w:r>
        <w:rPr>
          <w:b/>
        </w:rPr>
        <w:t>Sorties clés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attachments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attachments_count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can_send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send_failure_reason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If Ready To Send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If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envoyer seulement si le contexte est complet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Mark Pack Approved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 Request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marquer le pack comme approuvé avant l’envoi effectif</w:t>
      </w:r>
    </w:p>
    <w:p>
      <w:pPr>
        <w:pStyle w:val="Heading1"/>
        <w:spacing w:before="200" w:after="60"/>
      </w:pPr>
      <w:r>
        <w:t>6.9 Envoi au prospect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Send External Prospect Email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 Request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envoyer au prospect :</w:t>
      </w:r>
    </w:p>
    <w:p>
      <w:pPr>
        <w:pStyle w:val="ListBullet"/>
        <w:spacing w:after="40"/>
      </w:pPr>
      <w:r>
        <w:t>la lettre exécutive</w:t>
      </w:r>
    </w:p>
    <w:p>
      <w:pPr>
        <w:pStyle w:val="ListBullet"/>
        <w:spacing w:after="40"/>
      </w:pPr>
      <w:r>
        <w:t>le mini-catalogue</w:t>
      </w:r>
    </w:p>
    <w:p>
      <w:pPr>
        <w:pStyle w:val="ListBullet"/>
        <w:spacing w:after="40"/>
      </w:pPr>
      <w:r>
        <w:t>le deck</w:t>
      </w:r>
    </w:p>
    <w:p>
      <w:pPr>
        <w:spacing w:after="120"/>
      </w:pPr>
      <w:r>
        <w:rPr>
          <w:b/>
        </w:rPr>
        <w:t>Point essentiel</w:t>
      </w:r>
    </w:p>
    <w:p>
      <w:pPr>
        <w:spacing w:after="120"/>
      </w:pPr>
      <w:r>
        <w:t>La lettre envoyée doit désormais contenir le vrai lien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https://audit.transferai.ci/questionnaire-audit?pack_id=...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Parse Send Result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Code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relire la réponse Resend</w:t>
      </w:r>
    </w:p>
    <w:p>
      <w:pPr>
        <w:pStyle w:val="ListBullet"/>
        <w:spacing w:after="40"/>
      </w:pPr>
      <w:r>
        <w:t>extraire l’identifiant du message</w:t>
      </w:r>
    </w:p>
    <w:p>
      <w:pPr>
        <w:pStyle w:val="ListBullet"/>
        <w:spacing w:after="40"/>
      </w:pPr>
      <w:r>
        <w:t>horodater l’envoi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Mark Pack Sent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 Request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mettre à jour la ligne Supabase après envoi réussi</w:t>
      </w:r>
    </w:p>
    <w:p>
      <w:pPr>
        <w:spacing w:after="120"/>
      </w:pPr>
      <w:r>
        <w:rPr>
          <w:b/>
        </w:rPr>
        <w:t>Mise à jour attendue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status = sent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sent_at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resend_message_id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Log Outreach Attempt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 Request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tracer l’envoi dans la table d’historique des tentatives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Send Internal Sent Confirmation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 Request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envoyer une confirmation interne que le pack a bien été envoyé</w:t>
      </w:r>
    </w:p>
    <w:p>
      <w:pPr>
        <w:pStyle w:val="Heading1"/>
        <w:spacing w:before="200" w:after="60"/>
      </w:pPr>
      <w:r>
        <w:t>6.10 Gestion des erreurs et des cas alternatifs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Mark Pack Approval Error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marquer un pack en erreur si le chemin d’approbation échoue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Mark Pack Rejected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marquer le pack comme rejeté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Update Prospect Target Sent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refléter l’état “envoyé” dans la table CRM du prospect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Update Prospect Target Approval Error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refléter l’erreur d’approbation dans la cible CRM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Update Prospect Target Rejected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refléter le rejet dans la cible CRM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Respond to Webhook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Respond Rejected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Respond Approval Error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renvoyer une réponse HTTP lisible à l’appelant du webhook</w:t>
      </w:r>
    </w:p>
    <w:p>
      <w:pPr>
        <w:pStyle w:val="Heading1"/>
        <w:spacing w:before="200" w:after="60"/>
      </w:pPr>
      <w:r>
        <w:t>6.11 Génération des artefacts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Resolve Domain Catalogue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choisir la variante catalogue la plus cohérente avec le domaine et le contexte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Build Catalogue Render Payload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préparer toutes les données d’entrée du moteur de rendu catalogue</w:t>
      </w:r>
    </w:p>
    <w:p>
      <w:pPr>
        <w:spacing w:after="120"/>
      </w:pPr>
      <w:r>
        <w:rPr>
          <w:b/>
        </w:rPr>
        <w:t>Point important</w:t>
      </w:r>
    </w:p>
    <w:p>
      <w:pPr>
        <w:spacing w:after="120"/>
      </w:pPr>
      <w:r>
        <w:t>Ce nœud transporte aussi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audit_form_url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calendly_url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render Catalogue Artifact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appeler le service de rendu du mini-catalogue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Merge Catalogue Artifact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réinjecter l’artefact catalogue dans le pack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Build Deck Render Payload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préparer les données du deck PowerPoint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Render Deck Artifact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appeler le moteur de rendu du deck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Merge Deck Artifact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réinjecter l’artefact deck dans le pack</w:t>
      </w:r>
    </w:p>
    <w:p>
      <w:pPr>
        <w:pStyle w:val="Heading1"/>
        <w:spacing w:before="200" w:after="60"/>
      </w:pPr>
      <w:r>
        <w:t>7. Ce qui a été configuré récemment</w:t>
      </w:r>
    </w:p>
    <w:p>
      <w:pPr>
        <w:spacing w:after="120"/>
      </w:pPr>
      <w:r>
        <w:t>Les changements récemment opérés sont les suivants :</w:t>
      </w:r>
    </w:p>
    <w:p>
      <w:pPr>
        <w:pStyle w:val="ListNumber"/>
        <w:spacing w:after="40"/>
      </w:pPr>
      <w:r>
        <w:t xml:space="preserve">correction du champ </w:t>
      </w:r>
      <w:r>
        <w:rPr>
          <w:rFonts w:ascii="Courier New" w:hAnsi="Courier New"/>
          <w:sz w:val="20"/>
        </w:rPr>
        <w:t>website</w:t>
      </w:r>
      <w:r>
        <w:t xml:space="preserve"> dans </w:t>
      </w:r>
      <w:r>
        <w:rPr>
          <w:rFonts w:ascii="Courier New" w:hAnsi="Courier New"/>
          <w:sz w:val="20"/>
        </w:rPr>
        <w:t>Set Target</w:t>
      </w:r>
    </w:p>
    <w:p>
      <w:pPr>
        <w:pStyle w:val="ListNumber"/>
        <w:spacing w:after="40"/>
      </w:pPr>
      <w:r>
        <w:t xml:space="preserve">vérification de </w:t>
      </w:r>
      <w:r>
        <w:rPr>
          <w:rFonts w:ascii="Courier New" w:hAnsi="Courier New"/>
          <w:sz w:val="20"/>
        </w:rPr>
        <w:t>Build Source URLs</w:t>
      </w:r>
    </w:p>
    <w:p>
      <w:pPr>
        <w:pStyle w:val="ListNumber"/>
        <w:spacing w:after="40"/>
      </w:pPr>
      <w:r>
        <w:t xml:space="preserve">mise à jour de </w:t>
      </w:r>
      <w:r>
        <w:rPr>
          <w:rFonts w:ascii="Courier New" w:hAnsi="Courier New"/>
          <w:sz w:val="20"/>
        </w:rPr>
        <w:t>Generate Executive Letter</w:t>
      </w:r>
    </w:p>
    <w:p>
      <w:pPr>
        <w:pStyle w:val="ListNumber"/>
        <w:spacing w:after="40"/>
      </w:pPr>
      <w:r>
        <w:t xml:space="preserve">mise à jour de </w:t>
      </w:r>
      <w:r>
        <w:rPr>
          <w:rFonts w:ascii="Courier New" w:hAnsi="Courier New"/>
          <w:sz w:val="20"/>
        </w:rPr>
        <w:t>Assemble Prospect Pack</w:t>
      </w:r>
    </w:p>
    <w:p>
      <w:pPr>
        <w:pStyle w:val="ListNumber"/>
        <w:spacing w:after="40"/>
      </w:pPr>
      <w:r>
        <w:t xml:space="preserve">validation de </w:t>
      </w:r>
      <w:r>
        <w:rPr>
          <w:rFonts w:ascii="Courier New" w:hAnsi="Courier New"/>
          <w:sz w:val="20"/>
        </w:rPr>
        <w:t>Store Pack In Supabase</w:t>
      </w:r>
    </w:p>
    <w:p>
      <w:pPr>
        <w:pStyle w:val="ListNumber"/>
        <w:spacing w:after="40"/>
      </w:pPr>
      <w:r>
        <w:t xml:space="preserve">validation de </w:t>
      </w:r>
      <w:r>
        <w:rPr>
          <w:rFonts w:ascii="Courier New" w:hAnsi="Courier New"/>
          <w:sz w:val="20"/>
        </w:rPr>
        <w:t>Build Approval Email</w:t>
      </w:r>
    </w:p>
    <w:p>
      <w:pPr>
        <w:pStyle w:val="ListNumber"/>
        <w:spacing w:after="40"/>
      </w:pPr>
      <w:r>
        <w:t xml:space="preserve">préparation de </w:t>
      </w:r>
      <w:r>
        <w:rPr>
          <w:rFonts w:ascii="Courier New" w:hAnsi="Courier New"/>
          <w:sz w:val="20"/>
        </w:rPr>
        <w:t>Extract Pack Payload</w:t>
      </w:r>
    </w:p>
    <w:p>
      <w:pPr>
        <w:pStyle w:val="ListNumber"/>
        <w:spacing w:after="40"/>
      </w:pPr>
      <w:r>
        <w:t xml:space="preserve">préparation de </w:t>
      </w:r>
      <w:r>
        <w:rPr>
          <w:rFonts w:ascii="Courier New" w:hAnsi="Courier New"/>
          <w:sz w:val="20"/>
        </w:rPr>
        <w:t>Build Send Context</w:t>
      </w:r>
    </w:p>
    <w:p>
      <w:pPr>
        <w:pStyle w:val="ListNumber"/>
        <w:spacing w:after="40"/>
      </w:pPr>
      <w:r>
        <w:t xml:space="preserve">préparation de </w:t>
      </w:r>
      <w:r>
        <w:rPr>
          <w:rFonts w:ascii="Courier New" w:hAnsi="Courier New"/>
          <w:sz w:val="20"/>
        </w:rPr>
        <w:t>Send External Prospect Email</w:t>
      </w:r>
    </w:p>
    <w:p>
      <w:pPr>
        <w:pStyle w:val="ListNumber"/>
        <w:spacing w:after="40"/>
      </w:pPr>
      <w:r>
        <w:t xml:space="preserve">préparation de </w:t>
      </w:r>
      <w:r>
        <w:rPr>
          <w:rFonts w:ascii="Courier New" w:hAnsi="Courier New"/>
          <w:sz w:val="20"/>
        </w:rPr>
        <w:t>Mark Pack Sent</w:t>
      </w:r>
    </w:p>
    <w:p>
      <w:pPr>
        <w:pStyle w:val="ListNumber"/>
        <w:spacing w:after="40"/>
      </w:pPr>
      <w:r>
        <w:t xml:space="preserve">ajout du schéma post-audit via </w:t>
      </w:r>
      <w:r>
        <w:rPr>
          <w:rFonts w:ascii="Courier New" w:hAnsi="Courier New"/>
          <w:sz w:val="20"/>
        </w:rPr>
        <w:t>20260605150000_post_audit_schema.sql</w:t>
      </w:r>
    </w:p>
    <w:p>
      <w:pPr>
        <w:pStyle w:val="ListNumber"/>
        <w:spacing w:after="40"/>
      </w:pPr>
      <w:r>
        <w:t xml:space="preserve">mise à jour de </w:t>
      </w:r>
      <w:r>
        <w:rPr>
          <w:rFonts w:ascii="Courier New" w:hAnsi="Courier New"/>
          <w:sz w:val="20"/>
        </w:rPr>
        <w:t>save-form-response</w:t>
      </w:r>
      <w:r>
        <w:t xml:space="preserve"> pour persister </w:t>
      </w:r>
      <w:r>
        <w:rPr>
          <w:rFonts w:ascii="Courier New" w:hAnsi="Courier New"/>
          <w:sz w:val="20"/>
        </w:rPr>
        <w:t>pack_id</w:t>
      </w:r>
      <w:r>
        <w:t xml:space="preserve"> et </w:t>
      </w:r>
      <w:r>
        <w:rPr>
          <w:rFonts w:ascii="Courier New" w:hAnsi="Courier New"/>
          <w:sz w:val="20"/>
        </w:rPr>
        <w:t>context_snapshot</w:t>
      </w:r>
    </w:p>
    <w:p>
      <w:pPr>
        <w:pStyle w:val="ListNumber"/>
        <w:spacing w:after="40"/>
      </w:pPr>
      <w:r>
        <w:t xml:space="preserve">déclenchement automatique du webhook n8n post-audit quand </w:t>
      </w:r>
      <w:r>
        <w:rPr>
          <w:rFonts w:ascii="Courier New" w:hAnsi="Courier New"/>
          <w:sz w:val="20"/>
        </w:rPr>
        <w:t>completionPercentage &gt;= 80</w:t>
      </w:r>
    </w:p>
    <w:p>
      <w:pPr>
        <w:pStyle w:val="ListNumber"/>
        <w:spacing w:after="40"/>
      </w:pPr>
      <w:r>
        <w:t xml:space="preserve">création de la table de suivi </w:t>
      </w:r>
      <w:r>
        <w:rPr>
          <w:rFonts w:ascii="Courier New" w:hAnsi="Courier New"/>
          <w:sz w:val="20"/>
        </w:rPr>
        <w:t>post_audit_follow_ups</w:t>
      </w:r>
    </w:p>
    <w:p>
      <w:pPr>
        <w:pStyle w:val="Heading1"/>
        <w:spacing w:before="200" w:after="60"/>
      </w:pPr>
      <w:r>
        <w:t>8. Lien avec le nouveau formulaire d’audit</w:t>
      </w:r>
    </w:p>
    <w:p>
      <w:pPr>
        <w:spacing w:after="120"/>
      </w:pPr>
      <w:r>
        <w:t>Le nouveau formulaire premium du repo est préparé dans :</w:t>
      </w:r>
    </w:p>
    <w:p>
      <w:pPr>
        <w:pStyle w:val="ListBullet"/>
        <w:spacing w:after="40"/>
      </w:pPr>
      <w:r>
        <w:t>[src/pages/ProspectAuditFormPage.tsx](/Users/marius_ayoro/Documents/GitHub/connect-ia-bloom/src/pages/ProspectAuditFormPage.tsx)</w:t>
      </w:r>
    </w:p>
    <w:p>
      <w:pPr>
        <w:pStyle w:val="ListBullet"/>
        <w:spacing w:after="40"/>
      </w:pPr>
      <w:r>
        <w:t>[src/lib/prospect-audit.ts](/Users/marius_ayoro/Documents/GitHub/connect-ia-bloom/src/lib/prospect-audit.ts)</w:t>
      </w:r>
    </w:p>
    <w:p>
      <w:pPr>
        <w:spacing w:after="120"/>
      </w:pPr>
      <w:r>
        <w:t>La logique Supabase liée au formulaire est préparée dans :</w:t>
      </w:r>
    </w:p>
    <w:p>
      <w:pPr>
        <w:pStyle w:val="ListBullet"/>
        <w:spacing w:after="40"/>
      </w:pPr>
      <w:r>
        <w:t>[supabase/functions/resolve-invitation/index.ts](/Users/marius_ayoro/Documents/GitHub/connect-ia-bloom/supabase/functions/resolve-invitation/index.ts)</w:t>
      </w:r>
    </w:p>
    <w:p>
      <w:pPr>
        <w:pStyle w:val="ListBullet"/>
        <w:spacing w:after="40"/>
      </w:pPr>
      <w:r>
        <w:t>[supabase/functions/save-form-response/index.ts](/Users/marius_ayoro/Documents/GitHub/connect-ia-bloom/supabase/functions/save-form-response/index.ts)</w:t>
      </w:r>
    </w:p>
    <w:p>
      <w:pPr>
        <w:pStyle w:val="ListBullet"/>
        <w:spacing w:after="40"/>
      </w:pPr>
      <w:r>
        <w:t>[supabase/functions/_shared/prospect-audit-context.ts](/Users/marius_ayoro/Documents/GitHub/connect-ia-bloom/supabase/functions/_shared/prospect-audit-context.ts)</w:t>
      </w:r>
    </w:p>
    <w:p>
      <w:pPr>
        <w:spacing w:after="120"/>
      </w:pPr>
      <w:r>
        <w:t>Aujourd’hui :</w:t>
      </w:r>
    </w:p>
    <w:p>
      <w:pPr>
        <w:pStyle w:val="ListBullet"/>
        <w:spacing w:after="40"/>
      </w:pPr>
      <w:r>
        <w:t>le workflow email sait déjà envoyer un lien dynamique</w:t>
      </w:r>
    </w:p>
    <w:p>
      <w:pPr>
        <w:pStyle w:val="ListBullet"/>
        <w:spacing w:after="40"/>
      </w:pPr>
      <w:r>
        <w:t xml:space="preserve">le frontend d’audit utilise la chaîne </w:t>
      </w:r>
      <w:r>
        <w:rPr>
          <w:rFonts w:ascii="Courier New" w:hAnsi="Courier New"/>
          <w:sz w:val="20"/>
        </w:rPr>
        <w:t>resolve-invitation</w:t>
      </w:r>
      <w:r>
        <w:t xml:space="preserve"> + </w:t>
      </w:r>
      <w:r>
        <w:rPr>
          <w:rFonts w:ascii="Courier New" w:hAnsi="Courier New"/>
          <w:sz w:val="20"/>
        </w:rPr>
        <w:t>save-form-response</w:t>
      </w:r>
    </w:p>
    <w:p>
      <w:pPr>
        <w:pStyle w:val="ListBullet"/>
        <w:spacing w:after="40"/>
      </w:pPr>
      <w:r>
        <w:t>le workflow post-audit peut être déclenché automatiquement</w:t>
      </w:r>
    </w:p>
    <w:p>
      <w:pPr>
        <w:pStyle w:val="ListBullet"/>
        <w:spacing w:after="40"/>
      </w:pPr>
      <w:r>
        <w:t xml:space="preserve">la table </w:t>
      </w:r>
      <w:r>
        <w:rPr>
          <w:rFonts w:ascii="Courier New" w:hAnsi="Courier New"/>
          <w:sz w:val="20"/>
        </w:rPr>
        <w:t>post_audit_follow_ups</w:t>
      </w:r>
      <w:r>
        <w:t xml:space="preserve"> permet le suivi non-tech</w:t>
      </w:r>
    </w:p>
    <w:p>
      <w:pPr>
        <w:pStyle w:val="ListBullet"/>
        <w:spacing w:after="40"/>
      </w:pPr>
      <w:r>
        <w:t>le domaine public et la chaîne post-audit peuvent être testés de bout en bout</w:t>
      </w:r>
    </w:p>
    <w:p>
      <w:pPr>
        <w:pStyle w:val="Heading1"/>
        <w:spacing w:before="200" w:after="60"/>
      </w:pPr>
      <w:r>
        <w:t>9. Étapes recommandées après ce guide</w:t>
      </w:r>
    </w:p>
    <w:p>
      <w:pPr>
        <w:spacing w:after="120"/>
      </w:pPr>
      <w:r>
        <w:t>Le build principal étant en place, les prochaines étapes recommandées sont :</w:t>
      </w:r>
    </w:p>
    <w:p>
      <w:pPr>
        <w:pStyle w:val="ListNumber"/>
        <w:spacing w:after="40"/>
      </w:pPr>
      <w:r>
        <w:t xml:space="preserve">tester le flux complet </w:t>
      </w:r>
      <w:r>
        <w:rPr>
          <w:rFonts w:ascii="Courier New" w:hAnsi="Courier New"/>
          <w:sz w:val="20"/>
        </w:rPr>
        <w:t>V3 -&gt; formulaire -&gt; post-audit</w:t>
      </w:r>
    </w:p>
    <w:p>
      <w:pPr>
        <w:pStyle w:val="ListNumber"/>
        <w:spacing w:after="40"/>
      </w:pPr>
      <w:r>
        <w:t xml:space="preserve">valider la création de </w:t>
      </w:r>
      <w:r>
        <w:rPr>
          <w:rFonts w:ascii="Courier New" w:hAnsi="Courier New"/>
          <w:sz w:val="20"/>
        </w:rPr>
        <w:t>post_audit_follow_ups</w:t>
      </w:r>
    </w:p>
    <w:p>
      <w:pPr>
        <w:pStyle w:val="ListNumber"/>
        <w:spacing w:after="40"/>
      </w:pPr>
      <w:r>
        <w:t>valider l’email expert et, si activé, l’alerte Slack</w:t>
      </w:r>
    </w:p>
    <w:p>
      <w:pPr>
        <w:pStyle w:val="ListNumber"/>
        <w:spacing w:after="40"/>
      </w:pPr>
      <w:r>
        <w:t>vérifier l’idempotence en cas de resoumission</w:t>
      </w:r>
    </w:p>
    <w:p>
      <w:pPr>
        <w:pStyle w:val="ListNumber"/>
        <w:spacing w:after="40"/>
      </w:pPr>
      <w:r>
        <w:t>monitorer les premiers cas réels en production</w:t>
      </w:r>
    </w:p>
    <w:p>
      <w:pPr>
        <w:pStyle w:val="Heading1"/>
        <w:spacing w:before="200" w:after="60"/>
      </w:pPr>
      <w:r>
        <w:t>10. Références utiles</w:t>
      </w:r>
    </w:p>
    <w:p>
      <w:pPr>
        <w:pStyle w:val="ListBullet"/>
        <w:spacing w:after="40"/>
      </w:pPr>
      <w:r>
        <w:t>[implementation-audit-dynamique-workflow.md](/Users/marius_ayoro/Documents/GitHub/connect-ia-bloom/docs/transferai-admin/implementation-audit-dynamique-workflow.md)</w:t>
      </w:r>
    </w:p>
    <w:p>
      <w:pPr>
        <w:pStyle w:val="ListBullet"/>
        <w:spacing w:after="40"/>
      </w:pPr>
      <w:r>
        <w:t>[modele-fiche-pre-rdv-audit-trilingue.md](/Users/marius_ayoro/Documents/GitHub/connect-ia-bloom/docs/transferai-admin/modele-fiche-pre-rdv-audit-trilingue.md)</w:t>
      </w:r>
    </w:p>
    <w:p>
      <w:pPr>
        <w:pStyle w:val="ListBullet"/>
        <w:spacing w:after="40"/>
      </w:pPr>
      <w:r>
        <w:t>[n8n-orientation-service-post-audit.md](/Users/marius_ayoro/Documents/GitHub/connect-ia-bloom/docs/transferai-admin/n8n-orientation-service-post-audit.md)</w:t>
      </w:r>
    </w:p>
    <w:p>
      <w:pPr>
        <w:pStyle w:val="ListBullet"/>
        <w:spacing w:after="40"/>
      </w:pPr>
      <w:r>
        <w:t>[71_Guide_Utilisateur_Workflow_Post_Audit_CRM_Aware.md](/Users/marius_ayoro/Documents/GitHub/connect-ia-bloom/docs/transferai-admin/71_Guide_Utilisateur_Workflow_Post_Audit_CRM_Aware.md)</w:t>
      </w:r>
    </w:p>
    <w:p>
      <w:pPr>
        <w:pStyle w:val="ListBullet"/>
        <w:spacing w:after="40"/>
      </w:pPr>
      <w:r>
        <w:t>[74_n8n_Post_Audit_Expert_Routing_V2_Exportable.json](/Users/marius_ayoro/Documents/GitHub/connect-ia-bloom/docs/transferai-admin/74_n8n_Post_Audit_Expert_Routing_V2_Exportable.json)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