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56db"/>
          <w:sz w:val="22"/>
          <w:szCs w:val="22"/>
        </w:rPr>
        <w:t xml:space="preserve">TransferAI Nettelecom CI</w:t>
      </w:r>
    </w:p>
    <w:p>
      <w:pPr>
        <w:spacing w:after="60" w:before="120"/>
        <w:jc w:val="center"/>
      </w:pPr>
      <w:r>
        <w:rPr>
          <w:b/>
          <w:bCs/>
          <w:color w:val="111827"/>
          <w:sz w:val="40"/>
          <w:szCs w:val="40"/>
        </w:rPr>
        <w:t xml:space="preserve">6 Cas d'Usage IA Concrets — Secteur par Secteur</w:t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Programme commercial issu de la formation « L'IA appliquée à votre métier » — Sessions du 29-30 juillet et du 10-11 août 2026</w:t>
      </w:r>
    </w:p>
    <w:p>
      <w:pPr>
        <w:spacing w:after="120"/>
      </w:pPr>
      <w:r>
        <w:rPr>
          <w:sz w:val="21"/>
          <w:szCs w:val="21"/>
        </w:rPr>
        <w:t xml:space="preserve">Ces 6 cas d'usage reposent sur des démonstrations n8n réellement construites et fonctionnelles, pas sur des slides théoriques. Les cas 1 à 4 forment le socle transversal montré à tous les prospects. Les cas 5 et 6 s'activent en complément selon le secteur du prospect en face.</w:t>
      </w:r>
    </w:p>
    <w:p>
      <w:pPr>
        <w:pBdr>
          <w:top w:val="single" w:color="1a56db" w:sz="6" w:space="4"/>
        </w:pBdr>
        <w:spacing w:after="60" w:before="280"/>
      </w:pPr>
      <w:r>
        <w:rPr>
          <w:b/>
          <w:bCs/>
          <w:color w:val="1a56db"/>
          <w:sz w:val="26"/>
          <w:szCs w:val="26"/>
        </w:rPr>
        <w:t xml:space="preserve">1. </w:t>
      </w:r>
      <w:r>
        <w:rPr>
          <w:b/>
          <w:bCs/>
          <w:color w:val="1f2937"/>
          <w:sz w:val="26"/>
          <w:szCs w:val="26"/>
        </w:rPr>
        <w:t xml:space="preserve">Courrier automatique avec validation humaine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Secteur : </w:t>
      </w:r>
      <w:r>
        <w:rPr>
          <w:i/>
          <w:iCs/>
          <w:color w:val="555555"/>
          <w:sz w:val="20"/>
          <w:szCs w:val="20"/>
        </w:rPr>
        <w:t xml:space="preserve">Transversal — RH, Secrétariat, Direction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Ce que ça fait : </w:t>
      </w:r>
      <w:r>
        <w:rPr>
          <w:sz w:val="21"/>
          <w:szCs w:val="21"/>
        </w:rPr>
        <w:t xml:space="preserve">Un webhook reçoit une demande, GPT-4o rédige le courrier, un manager valide par email avant l'envoi final.</w:t>
      </w:r>
    </w:p>
    <w:p>
      <w:pPr>
        <w:shd w:fill="eef3fd" w:val="clear"/>
        <w:spacing w:after="60"/>
      </w:pPr>
      <w:r>
        <w:rPr>
          <w:b/>
          <w:bCs/>
          <w:color w:val="1a56db"/>
          <w:sz w:val="21"/>
          <w:szCs w:val="21"/>
        </w:rPr>
        <w:t xml:space="preserve">Argument de vente : </w:t>
      </w:r>
      <w:r>
        <w:rPr>
          <w:i/>
          <w:iCs/>
          <w:sz w:val="21"/>
          <w:szCs w:val="21"/>
        </w:rPr>
        <w:t xml:space="preserve">Vos secrétaires gagnent 80% du temps de rédaction sans jamais perdre le contrôle final.</w:t>
      </w:r>
    </w:p>
    <w:p>
      <w:pPr>
        <w:pBdr>
          <w:top w:val="single" w:color="1a56db" w:sz="6" w:space="4"/>
        </w:pBdr>
        <w:spacing w:after="60" w:before="280"/>
      </w:pPr>
      <w:r>
        <w:rPr>
          <w:b/>
          <w:bCs/>
          <w:color w:val="1a56db"/>
          <w:sz w:val="26"/>
          <w:szCs w:val="26"/>
        </w:rPr>
        <w:t xml:space="preserve">2. </w:t>
      </w:r>
      <w:r>
        <w:rPr>
          <w:b/>
          <w:bCs/>
          <w:color w:val="1f2937"/>
          <w:sz w:val="26"/>
          <w:szCs w:val="26"/>
        </w:rPr>
        <w:t xml:space="preserve">Anonymisation des données sensibles avant tout appel IA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Secteur : </w:t>
      </w:r>
      <w:r>
        <w:rPr>
          <w:i/>
          <w:iCs/>
          <w:color w:val="555555"/>
          <w:sz w:val="20"/>
          <w:szCs w:val="20"/>
        </w:rPr>
        <w:t xml:space="preserve">Transversal — brique de confiance (Banque, Diplomatie, Institutions)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Ce que ça fait : </w:t>
      </w:r>
      <w:r>
        <w:rPr>
          <w:sz w:val="21"/>
          <w:szCs w:val="21"/>
        </w:rPr>
        <w:t xml:space="preserve">Les données sensibles (IBAN, CNI, montants, référence diplomatique...) sont masquées par des tokens avant d'atteindre l'IA, puis restaurées après génération.</w:t>
      </w:r>
    </w:p>
    <w:p>
      <w:pPr>
        <w:shd w:fill="eef3fd" w:val="clear"/>
        <w:spacing w:after="60"/>
      </w:pPr>
      <w:r>
        <w:rPr>
          <w:b/>
          <w:bCs/>
          <w:color w:val="1a56db"/>
          <w:sz w:val="21"/>
          <w:szCs w:val="21"/>
        </w:rPr>
        <w:t xml:space="preserve">Argument de vente : </w:t>
      </w:r>
      <w:r>
        <w:rPr>
          <w:i/>
          <w:iCs/>
          <w:sz w:val="21"/>
          <w:szCs w:val="21"/>
        </w:rPr>
        <w:t xml:space="preserve">Aucune donnée sensible réelle ne quitte jamais vos murs vers l'IA.</w:t>
      </w:r>
    </w:p>
    <w:p>
      <w:pPr>
        <w:pBdr>
          <w:top w:val="single" w:color="1a56db" w:sz="6" w:space="4"/>
        </w:pBdr>
        <w:spacing w:after="60" w:before="280"/>
      </w:pPr>
      <w:r>
        <w:rPr>
          <w:b/>
          <w:bCs/>
          <w:color w:val="1a56db"/>
          <w:sz w:val="26"/>
          <w:szCs w:val="26"/>
        </w:rPr>
        <w:t xml:space="preserve">3. </w:t>
      </w:r>
      <w:r>
        <w:rPr>
          <w:b/>
          <w:bCs/>
          <w:color w:val="1f2937"/>
          <w:sz w:val="26"/>
          <w:szCs w:val="26"/>
        </w:rPr>
        <w:t xml:space="preserve">Compte rendu de réunion automatique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Secteur : </w:t>
      </w:r>
      <w:r>
        <w:rPr>
          <w:i/>
          <w:iCs/>
          <w:color w:val="555555"/>
          <w:sz w:val="20"/>
          <w:szCs w:val="20"/>
        </w:rPr>
        <w:t xml:space="preserve">Transversal — Direction, RH, Institutions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Ce que ça fait : </w:t>
      </w:r>
      <w:r>
        <w:rPr>
          <w:sz w:val="21"/>
          <w:szCs w:val="21"/>
        </w:rPr>
        <w:t xml:space="preserve">Dépôt d'un simple fichier audio → transcription Whisper → CR structuré (décisions, actions, responsables, échéances) → validation en un clic.</w:t>
      </w:r>
    </w:p>
    <w:p>
      <w:pPr>
        <w:shd w:fill="eef3fd" w:val="clear"/>
        <w:spacing w:after="60"/>
      </w:pPr>
      <w:r>
        <w:rPr>
          <w:b/>
          <w:bCs/>
          <w:color w:val="1a56db"/>
          <w:sz w:val="21"/>
          <w:szCs w:val="21"/>
        </w:rPr>
        <w:t xml:space="preserve">Argument de vente : </w:t>
      </w:r>
      <w:r>
        <w:rPr>
          <w:i/>
          <w:iCs/>
          <w:sz w:val="21"/>
          <w:szCs w:val="21"/>
        </w:rPr>
        <w:t xml:space="preserve">Fini la prise de notes manuelle en réunion.</w:t>
      </w:r>
    </w:p>
    <w:p>
      <w:pPr>
        <w:pBdr>
          <w:top w:val="single" w:color="1a56db" w:sz="6" w:space="4"/>
        </w:pBdr>
        <w:spacing w:after="60" w:before="280"/>
      </w:pPr>
      <w:r>
        <w:rPr>
          <w:b/>
          <w:bCs/>
          <w:color w:val="1a56db"/>
          <w:sz w:val="26"/>
          <w:szCs w:val="26"/>
        </w:rPr>
        <w:t xml:space="preserve">4. </w:t>
      </w:r>
      <w:r>
        <w:rPr>
          <w:b/>
          <w:bCs/>
          <w:color w:val="1f2937"/>
          <w:sz w:val="26"/>
          <w:szCs w:val="26"/>
        </w:rPr>
        <w:t xml:space="preserve">Recherche documentaire intelligente (RAG)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Secteur : </w:t>
      </w:r>
      <w:r>
        <w:rPr>
          <w:i/>
          <w:iCs/>
          <w:color w:val="555555"/>
          <w:sz w:val="20"/>
          <w:szCs w:val="20"/>
        </w:rPr>
        <w:t xml:space="preserve">Transversal — GED, Archivage, Institutions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Ce que ça fait : </w:t>
      </w:r>
      <w:r>
        <w:rPr>
          <w:sz w:val="21"/>
          <w:szCs w:val="21"/>
        </w:rPr>
        <w:t xml:space="preserve">Une question posée en langage naturel retrouve la bonne information dans toute la base documentaire de l'entreprise, sources citées à l'appui.</w:t>
      </w:r>
    </w:p>
    <w:p>
      <w:pPr>
        <w:shd w:fill="eef3fd" w:val="clear"/>
        <w:spacing w:after="60"/>
      </w:pPr>
      <w:r>
        <w:rPr>
          <w:b/>
          <w:bCs/>
          <w:color w:val="1a56db"/>
          <w:sz w:val="21"/>
          <w:szCs w:val="21"/>
        </w:rPr>
        <w:t xml:space="preserve">Argument de vente : </w:t>
      </w:r>
      <w:r>
        <w:rPr>
          <w:i/>
          <w:iCs/>
          <w:sz w:val="21"/>
          <w:szCs w:val="21"/>
        </w:rPr>
        <w:t xml:space="preserve">Retrouvez une info dans des milliers de documents en secondes, avec preuve de la source.</w:t>
      </w:r>
    </w:p>
    <w:p>
      <w:pPr>
        <w:pBdr>
          <w:top w:val="single" w:color="1a56db" w:sz="6" w:space="4"/>
        </w:pBdr>
        <w:spacing w:after="60" w:before="280"/>
      </w:pPr>
      <w:r>
        <w:rPr>
          <w:b/>
          <w:bCs/>
          <w:color w:val="1a56db"/>
          <w:sz w:val="26"/>
          <w:szCs w:val="26"/>
        </w:rPr>
        <w:t xml:space="preserve">5. </w:t>
      </w:r>
      <w:r>
        <w:rPr>
          <w:b/>
          <w:bCs/>
          <w:color w:val="1f2937"/>
          <w:sz w:val="26"/>
          <w:szCs w:val="26"/>
        </w:rPr>
        <w:t xml:space="preserve">Traduction officielle bilingue avec relecture qualité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Secteur : </w:t>
      </w:r>
      <w:r>
        <w:rPr>
          <w:i/>
          <w:iCs/>
          <w:color w:val="555555"/>
          <w:sz w:val="20"/>
          <w:szCs w:val="20"/>
        </w:rPr>
        <w:t xml:space="preserve">Sectoriel — Diplomatie, Institutions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Ce que ça fait : </w:t>
      </w:r>
      <w:r>
        <w:rPr>
          <w:sz w:val="21"/>
          <w:szCs w:val="21"/>
        </w:rPr>
        <w:t xml:space="preserve">Traduction automatique (Claude / GPT-4o) d'un document officiel, suivie d'une relecture qualité automatisée, puis assemblage en document bilingue prêt à l'emploi.</w:t>
      </w:r>
    </w:p>
    <w:p>
      <w:pPr>
        <w:shd w:fill="eef3fd" w:val="clear"/>
        <w:spacing w:after="60"/>
      </w:pPr>
      <w:r>
        <w:rPr>
          <w:b/>
          <w:bCs/>
          <w:color w:val="1a56db"/>
          <w:sz w:val="21"/>
          <w:szCs w:val="21"/>
        </w:rPr>
        <w:t xml:space="preserve">Argument de vente : </w:t>
      </w:r>
      <w:r>
        <w:rPr>
          <w:i/>
          <w:iCs/>
          <w:sz w:val="21"/>
          <w:szCs w:val="21"/>
        </w:rPr>
        <w:t xml:space="preserve">Correspondance officielle multilingue, prête pour le secteur diplomatique et institutionnel.</w:t>
      </w:r>
    </w:p>
    <w:p>
      <w:pPr>
        <w:pBdr>
          <w:top w:val="single" w:color="1a56db" w:sz="6" w:space="4"/>
        </w:pBdr>
        <w:spacing w:after="60" w:before="280"/>
      </w:pPr>
      <w:r>
        <w:rPr>
          <w:b/>
          <w:bCs/>
          <w:color w:val="1a56db"/>
          <w:sz w:val="26"/>
          <w:szCs w:val="26"/>
        </w:rPr>
        <w:t xml:space="preserve">6. </w:t>
      </w:r>
      <w:r>
        <w:rPr>
          <w:b/>
          <w:bCs/>
          <w:color w:val="1f2937"/>
          <w:sz w:val="26"/>
          <w:szCs w:val="26"/>
        </w:rPr>
        <w:t xml:space="preserve">Dossier de crédit / KYC assisté par IA + veille réglementaire BCEAO-UEMOA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Secteur : </w:t>
      </w:r>
      <w:r>
        <w:rPr>
          <w:i/>
          <w:iCs/>
          <w:color w:val="555555"/>
          <w:sz w:val="20"/>
          <w:szCs w:val="20"/>
        </w:rPr>
        <w:t xml:space="preserve">Sectoriel — Banque, Finance, Comptabilité</w:t>
      </w:r>
    </w:p>
    <w:p>
      <w:pPr>
        <w:spacing w:after="80"/>
      </w:pPr>
      <w:r>
        <w:rPr>
          <w:b/>
          <w:bCs/>
          <w:sz w:val="21"/>
          <w:szCs w:val="21"/>
        </w:rPr>
        <w:t xml:space="preserve">Ce que ça fait : </w:t>
      </w:r>
      <w:r>
        <w:rPr>
          <w:sz w:val="21"/>
          <w:szCs w:val="21"/>
        </w:rPr>
        <w:t xml:space="preserve">Anonymisation du dossier client → synthèse automatique prête pour le comité de crédit → restitution des vraies données après validation humaine, couplée à une veille réglementaire BCEAO / UEMOA / ARTCI déjà en production, classée et résumée en moins de 5 minutes par signal.</w:t>
      </w:r>
    </w:p>
    <w:p>
      <w:pPr>
        <w:shd w:fill="eef3fd" w:val="clear"/>
        <w:spacing w:after="60"/>
      </w:pPr>
      <w:r>
        <w:rPr>
          <w:b/>
          <w:bCs/>
          <w:color w:val="1a56db"/>
          <w:sz w:val="21"/>
          <w:szCs w:val="21"/>
        </w:rPr>
        <w:t xml:space="preserve">Argument de vente : </w:t>
      </w:r>
      <w:r>
        <w:rPr>
          <w:i/>
          <w:iCs/>
          <w:sz w:val="21"/>
          <w:szCs w:val="21"/>
        </w:rPr>
        <w:t xml:space="preserve">Vos dossiers de crédit et synthèses de conformité en une fraction du temps, sans qu'aucune donnée client ne quitte votre structure — et vous êtes alertés des changements BCEAO/UEMOA avant vos concurrents.</w:t>
      </w:r>
    </w:p>
    <w:p>
      <w:pPr>
        <w:pBdr>
          <w:top w:val="single" w:color="1a56db" w:sz="6" w:space="4"/>
        </w:pBdr>
        <w:spacing w:after="80" w:before="320"/>
      </w:pPr>
      <w:r>
        <w:rPr>
          <w:b/>
          <w:bCs/>
          <w:color w:val="1a56db"/>
          <w:sz w:val="24"/>
          <w:szCs w:val="24"/>
        </w:rPr>
        <w:t xml:space="preserve">Séquence commerciale recommandée</w:t>
      </w:r>
    </w:p>
    <w:p>
      <w:pPr>
        <w:spacing w:after="40"/>
      </w:pPr>
      <w:r>
        <w:rPr>
          <w:sz w:val="21"/>
          <w:szCs w:val="21"/>
        </w:rPr>
        <w:t xml:space="preserve">1. Audit express IA métier</w:t>
      </w:r>
    </w:p>
    <w:p>
      <w:pPr>
        <w:spacing w:after="40"/>
      </w:pPr>
      <w:r>
        <w:rPr>
          <w:sz w:val="21"/>
          <w:szCs w:val="21"/>
        </w:rPr>
        <w:t xml:space="preserve">2. Bootcamp métier IA (formation 2 jours)</w:t>
      </w:r>
    </w:p>
    <w:p>
      <w:pPr>
        <w:spacing w:after="40"/>
      </w:pPr>
      <w:r>
        <w:rPr>
          <w:sz w:val="21"/>
          <w:szCs w:val="21"/>
        </w:rPr>
        <w:t xml:space="preserve">3. Pilote workflow ou assistant sur cas réel</w:t>
      </w:r>
    </w:p>
    <w:p>
      <w:pPr>
        <w:spacing w:after="40"/>
      </w:pPr>
      <w:r>
        <w:rPr>
          <w:sz w:val="21"/>
          <w:szCs w:val="21"/>
        </w:rPr>
        <w:t xml:space="preserve">4. Déploiement élargi</w:t>
      </w:r>
    </w:p>
    <w:sectPr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TransferAI Nettelecom CI — Riviera 3, carrefour Sainte Famille, Abidjan — WhatsApp &amp; Agent IA : +225 07 16 57 39 90 — contact@transferai.ci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2026-07-03T16:03:20.690Z</dcterms:created>
  <dcterms:modified xsi:type="dcterms:W3CDTF">2026-07-03T16:03:20.691Z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