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E8920A"/>
          <w:sz w:val="18"/>
          <w:szCs w:val="18"/>
        </w:rPr>
        <w:t xml:space="preserve">TRANSFERAI AFRICA · WEBINAIRE « IA PRATIQUE » · CAS D'USAGE</w:t>
      </w:r>
    </w:p>
    <w:p>
      <w:pPr>
        <w:spacing w:after="100"/>
      </w:pPr>
      <w:r>
        <w:rPr>
          <w:b/>
          <w:bCs/>
          <w:color w:val="10263F"/>
          <w:sz w:val="52"/>
          <w:szCs w:val="52"/>
        </w:rPr>
        <w:t xml:space="preserve">Support IT Intelligent</w:t>
      </w:r>
    </w:p>
    <w:p>
      <w:pPr>
        <w:spacing w:after="260"/>
      </w:pPr>
      <w:r>
        <w:rPr>
          <w:i/>
          <w:iCs/>
          <w:color w:val="5A6472"/>
          <w:sz w:val="23"/>
          <w:szCs w:val="23"/>
        </w:rPr>
        <w:t xml:space="preserve">Étude de cas complète — conception, construction et bénéfices pour votre organisation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none"/>
              <w:left w:val="none"/>
              <w:bottom w:val="none"/>
              <w:right w:val="none"/>
            </w:tcBorders>
            <w:tcMar>
              <w:top w:type="dxa" w:w="60"/>
              <w:left w:type="dxa" w:w="60"/>
              <w:bottom w:type="dxa" w:w="60"/>
              <w:right w:type="dxa" w:w="60"/>
            </w:tcMar>
          </w:tcPr>
          <w:p>
            <w:pPr>
              <w:spacing w:after="40"/>
            </w:pPr>
            <w:r>
              <w:rPr>
                <w:b/>
                <w:bCs/>
                <w:color w:val="5A6472"/>
                <w:sz w:val="15"/>
                <w:szCs w:val="15"/>
              </w:rPr>
              <w:t xml:space="preserve">SECTEUR</w:t>
            </w:r>
          </w:p>
          <w:p>
            <w:r>
              <w:rPr>
                <w:b/>
                <w:bCs/>
                <w:color w:val="10263F"/>
                <w:sz w:val="19"/>
                <w:szCs w:val="19"/>
              </w:rPr>
              <w:t xml:space="preserve">IT &amp; Transformation Digitale</w:t>
            </w:r>
          </w:p>
        </w:tc>
        <w:tc>
          <w:tcPr>
            <w:tcW w:type="dxa" w:w="2520"/>
            <w:tcBorders>
              <w:top w:val="none"/>
              <w:left w:val="none"/>
              <w:bottom w:val="none"/>
              <w:right w:val="none"/>
            </w:tcBorders>
            <w:tcMar>
              <w:top w:type="dxa" w:w="60"/>
              <w:left w:type="dxa" w:w="60"/>
              <w:bottom w:type="dxa" w:w="60"/>
              <w:right w:type="dxa" w:w="60"/>
            </w:tcMar>
          </w:tcPr>
          <w:p>
            <w:pPr>
              <w:spacing w:after="40"/>
            </w:pPr>
            <w:r>
              <w:rPr>
                <w:b/>
                <w:bCs/>
                <w:color w:val="5A6472"/>
                <w:sz w:val="15"/>
                <w:szCs w:val="15"/>
              </w:rPr>
              <w:t xml:space="preserve">DURÉE DE CONCEPTION</w:t>
            </w:r>
          </w:p>
          <w:p>
            <w:r>
              <w:rPr>
                <w:b/>
                <w:bCs/>
                <w:color w:val="10263F"/>
                <w:sz w:val="19"/>
                <w:szCs w:val="19"/>
              </w:rPr>
              <w:t xml:space="preserve">Quelques jours</w:t>
            </w:r>
          </w:p>
        </w:tc>
        <w:tc>
          <w:tcPr>
            <w:tcW w:type="dxa" w:w="2520"/>
            <w:tcBorders>
              <w:top w:val="none"/>
              <w:left w:val="none"/>
              <w:bottom w:val="none"/>
              <w:right w:val="none"/>
            </w:tcBorders>
            <w:tcMar>
              <w:top w:type="dxa" w:w="60"/>
              <w:left w:type="dxa" w:w="60"/>
              <w:bottom w:type="dxa" w:w="60"/>
              <w:right w:type="dxa" w:w="60"/>
            </w:tcMar>
          </w:tcPr>
          <w:p>
            <w:pPr>
              <w:spacing w:after="40"/>
            </w:pPr>
            <w:r>
              <w:rPr>
                <w:b/>
                <w:bCs/>
                <w:color w:val="5A6472"/>
                <w:sz w:val="15"/>
                <w:szCs w:val="15"/>
              </w:rPr>
              <w:t xml:space="preserve">STATUT</w:t>
            </w:r>
          </w:p>
          <w:p>
            <w:r>
              <w:rPr>
                <w:b/>
                <w:bCs/>
                <w:color w:val="10263F"/>
                <w:sz w:val="19"/>
                <w:szCs w:val="19"/>
              </w:rPr>
              <w:t xml:space="preserve">Déployé et testé en réel</w:t>
            </w:r>
          </w:p>
        </w:tc>
        <w:tc>
          <w:tcPr>
            <w:tcW w:type="dxa" w:w="2520"/>
            <w:tcBorders>
              <w:top w:val="none"/>
              <w:left w:val="none"/>
              <w:bottom w:val="none"/>
              <w:right w:val="none"/>
            </w:tcBorders>
            <w:tcMar>
              <w:top w:type="dxa" w:w="60"/>
              <w:left w:type="dxa" w:w="60"/>
              <w:bottom w:type="dxa" w:w="60"/>
              <w:right w:type="dxa" w:w="60"/>
            </w:tcMar>
          </w:tcPr>
          <w:p>
            <w:pPr>
              <w:spacing w:after="40"/>
            </w:pPr>
            <w:r>
              <w:rPr>
                <w:b/>
                <w:bCs/>
                <w:color w:val="5A6472"/>
                <w:sz w:val="15"/>
                <w:szCs w:val="15"/>
              </w:rPr>
              <w:t xml:space="preserve">FORMAT</w:t>
            </w:r>
          </w:p>
          <w:p>
            <w:r>
              <w:rPr>
                <w:b/>
                <w:bCs/>
                <w:color w:val="10263F"/>
                <w:sz w:val="19"/>
                <w:szCs w:val="19"/>
              </w:rPr>
              <w:t xml:space="preserve">Démo live au webinaire</w:t>
            </w:r>
          </w:p>
        </w:tc>
      </w:tr>
    </w:tbl>
    <w:p>
      <w:pPr>
        <w:spacing w:after="0" w:before="300"/>
      </w:pPr>
    </w:p>
    <w:p>
      <w:pPr>
        <w:pBdr>
          <w:bottom w:val="single" w:color="10263F" w:sz="6" w:space="1"/>
        </w:pBdr>
        <w:spacing w:after="200" w:before="60"/>
      </w:pPr>
    </w:p>
    <w:p>
      <w:pPr>
        <w:pStyle w:val="Heading1"/>
      </w:pPr>
      <w:r>
        <w:t xml:space="preserve">1. Le problème de départ</w:t>
      </w:r>
    </w:p>
    <w:p>
      <w:pPr>
        <w:spacing w:after="160" w:before="0"/>
      </w:pPr>
      <w:r>
        <w:rPr>
          <w:sz w:val="21"/>
          <w:szCs w:val="21"/>
        </w:rPr>
        <w:t xml:space="preserve">Dans la plupart des organisations, la gestion des tickets informatiques suit toujours le même schéma : un utilisateur signale un problème, quelqu'un lit le ticket, essaie de comprendre de quoi il s'agit, décide qui doit s'en occuper, puis transmet l'information — souvent en perdant du contexte au passage.</w:t>
      </w:r>
    </w:p>
    <w:p>
      <w:pPr>
        <w:spacing w:after="160" w:before="0"/>
      </w:pPr>
      <w:r>
        <w:rPr>
          <w:sz w:val="21"/>
          <w:szCs w:val="21"/>
        </w:rPr>
        <w:t xml:space="preserve">Ce triage manuel prend 15 à 30 minutes par ticket rien que pour l'aiguillage, avant même le début de la résolution. Sur un volume de plusieurs dizaines ou centaines de tickets par mois, ce temps s'accumule et retarde les cas réellement urgents, noyés parmi les demandes courantes.</w:t>
      </w:r>
    </w:p>
    <w:p>
      <w:pPr>
        <w:spacing w:after="160" w:before="0"/>
      </w:pPr>
      <w:r>
        <w:rPr>
          <w:sz w:val="21"/>
          <w:szCs w:val="21"/>
        </w:rPr>
        <w:t xml:space="preserve">Support IT Intelligent est né de cette question simple : et si l'intelligence artificielle pouvait faire ce premier travail de tri — comprendre, classer, prioriser et parfois même résoudre — pour ne laisser à l'humain que ce qui exige réellement son expertise ?</w:t>
      </w:r>
    </w:p>
    <w:p>
      <w:pPr>
        <w:pStyle w:val="Heading1"/>
      </w:pPr>
      <w:r>
        <w:t xml:space="preserve">2. Qu'est-ce que « Support IT Intelligent » ?</w:t>
      </w:r>
    </w:p>
    <w:p>
      <w:pPr>
        <w:spacing w:after="160" w:before="0"/>
      </w:pPr>
      <w:r>
        <w:rPr>
          <w:sz w:val="21"/>
          <w:szCs w:val="21"/>
        </w:rPr>
        <w:t xml:space="preserve">C'est un système qui reçoit un ticket informatique (via un formulaire web, un email, Teams ou WhatsApp), le fait analyser par un modèle d'intelligence artificielle, puis déclenche automatiquement l'une de ces deux actions :</w:t>
      </w:r>
    </w:p>
    <w:p>
      <w:pPr>
        <w:pStyle w:val="ListParagraph"/>
        <w:numPr>
          <w:ilvl w:val="0"/>
          <w:numId w:val="2"/>
        </w:numPr>
        <w:spacing w:after="100"/>
      </w:pPr>
      <w:r>
        <w:rPr>
          <w:sz w:val="21"/>
          <w:szCs w:val="21"/>
        </w:rPr>
        <w:t xml:space="preserve">Résolution automatique — si l'IA est suffisamment confiante que sa réponse est fiable et suffisante, l'utilisateur reçoit directement une solution, sans intervention humaine.</w:t>
      </w:r>
    </w:p>
    <w:p>
      <w:pPr>
        <w:pStyle w:val="ListParagraph"/>
        <w:numPr>
          <w:ilvl w:val="0"/>
          <w:numId w:val="2"/>
        </w:numPr>
        <w:spacing w:after="100"/>
      </w:pPr>
      <w:r>
        <w:rPr>
          <w:sz w:val="21"/>
          <w:szCs w:val="21"/>
        </w:rPr>
        <w:t xml:space="preserve">Escalade intelligente — sinon, le ticket est transmis au bon technicien avec un diagnostic déjà préparé (catégorie, priorité, résumé du problème), pendant que l'utilisateur reçoit un accusé de réception avec un délai clair.</w:t>
      </w:r>
    </w:p>
    <w:p>
      <w:pPr>
        <w:spacing w:after="160" w:before="0"/>
      </w:pPr>
      <w:r>
        <w:rPr>
          <w:sz w:val="21"/>
          <w:szCs w:val="21"/>
        </w:rPr>
        <w:t xml:space="preserve">Dans les deux cas, un objectif de délai de résolution (SLA) est attribué automatiquement selon la criticité réelle du problème, évaluée par l'IA elle-même — et non simplement déclarée par l'utilisateur, qui a naturellement tendance à qualifier chaque demande d'« urgente ».</w:t>
      </w:r>
    </w:p>
    <w:p>
      <w:pPr>
        <w:pStyle w:val="Heading1"/>
      </w:pPr>
      <w:r>
        <w:t xml:space="preserve">3. En quoi cela consiste : le fonctionnement pas à pas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tblHeader/>
        </w:trPr>
        <w:tc>
          <w:tcPr>
            <w:tcW w:type="dxa" w:w="2822"/>
            <w:tcBorders>
              <w:top w:val="single" w:color="D9DEE4" w:sz="2"/>
              <w:left w:val="single" w:color="D9DEE4" w:sz="2"/>
              <w:bottom w:val="single" w:color="D9DEE4" w:sz="2"/>
              <w:right w:val="single" w:color="D9DEE4" w:sz="2"/>
            </w:tcBorders>
            <w:shd w:fill="10263F" w:val="clear"/>
            <w:tcMar>
              <w:top w:type="dxa" w:w="100"/>
              <w:left w:type="dxa" w:w="140"/>
              <w:bottom w:type="dxa" w:w="100"/>
              <w:right w:type="dxa" w:w="140"/>
            </w:tcMar>
            <w:vAlign w:val="center"/>
          </w:tcPr>
          <w:p>
            <w:r>
              <w:rPr>
                <w:b/>
                <w:bCs/>
                <w:color w:val="FFFFFF"/>
                <w:sz w:val="19"/>
                <w:szCs w:val="19"/>
              </w:rPr>
              <w:t xml:space="preserve">Étape</w:t>
            </w:r>
          </w:p>
        </w:tc>
        <w:tc>
          <w:tcPr>
            <w:tcW w:type="dxa" w:w="7258"/>
            <w:tcBorders>
              <w:top w:val="single" w:color="D9DEE4" w:sz="2"/>
              <w:left w:val="single" w:color="D9DEE4" w:sz="2"/>
              <w:bottom w:val="single" w:color="D9DEE4" w:sz="2"/>
              <w:right w:val="single" w:color="D9DEE4" w:sz="2"/>
            </w:tcBorders>
            <w:shd w:fill="10263F" w:val="clear"/>
            <w:tcMar>
              <w:top w:type="dxa" w:w="100"/>
              <w:left w:type="dxa" w:w="140"/>
              <w:bottom w:type="dxa" w:w="100"/>
              <w:right w:type="dxa" w:w="140"/>
            </w:tcMar>
            <w:vAlign w:val="center"/>
          </w:tcPr>
          <w:p>
            <w:r>
              <w:rPr>
                <w:b/>
                <w:bCs/>
                <w:color w:val="FFFFFF"/>
                <w:sz w:val="19"/>
                <w:szCs w:val="19"/>
              </w:rPr>
              <w:t xml:space="preserve">Ce qui se passe concrètement</w:t>
            </w:r>
          </w:p>
        </w:tc>
      </w:tr>
      <w:tr>
        <w:tc>
          <w:tcPr>
            <w:tcW w:type="dxa" w:w="2822"/>
            <w:tcBorders>
              <w:top w:val="single" w:color="D9DEE4" w:sz="2"/>
              <w:left w:val="single" w:color="D9DEE4" w:sz="2"/>
              <w:bottom w:val="single" w:color="D9DEE4" w:sz="2"/>
              <w:right w:val="single" w:color="D9DEE4" w:sz="2"/>
            </w:tcBorders>
            <w:shd w:fill="FFFFFF" w:val="clear"/>
            <w:tcMar>
              <w:top w:type="dxa" w:w="90"/>
              <w:left w:type="dxa" w:w="140"/>
              <w:bottom w:type="dxa" w:w="90"/>
              <w:right w:type="dxa" w:w="140"/>
            </w:tcMar>
            <w:vAlign w:val="center"/>
          </w:tcPr>
          <w:p>
            <w:r>
              <w:rPr>
                <w:b/>
                <w:bCs/>
                <w:sz w:val="19"/>
                <w:szCs w:val="19"/>
              </w:rPr>
              <w:t xml:space="preserve">1. Réception</w:t>
            </w:r>
          </w:p>
        </w:tc>
        <w:tc>
          <w:tcPr>
            <w:tcW w:type="dxa" w:w="7258"/>
            <w:tcBorders>
              <w:top w:val="single" w:color="D9DEE4" w:sz="2"/>
              <w:left w:val="single" w:color="D9DEE4" w:sz="2"/>
              <w:bottom w:val="single" w:color="D9DEE4" w:sz="2"/>
              <w:right w:val="single" w:color="D9DEE4" w:sz="2"/>
            </w:tcBorders>
            <w:shd w:fill="FFFFFF" w:val="clear"/>
            <w:tcMar>
              <w:top w:type="dxa" w:w="90"/>
              <w:left w:type="dxa" w:w="140"/>
              <w:bottom w:type="dxa" w:w="90"/>
              <w:right w:type="dxa" w:w="140"/>
            </w:tcMar>
            <w:vAlign w:val="center"/>
          </w:tcPr>
          <w:p>
            <w:r>
              <w:rPr>
                <w:b w:val="false"/>
                <w:bCs w:val="false"/>
                <w:sz w:val="19"/>
                <w:szCs w:val="19"/>
              </w:rPr>
              <w:t xml:space="preserve">L'utilisateur décrit son problème (sujet, description, contexte). Le système normalise l'information quel que soit le canal d'origine.</w:t>
            </w:r>
          </w:p>
        </w:tc>
      </w:tr>
      <w:tr>
        <w:tc>
          <w:tcPr>
            <w:tcW w:type="dxa" w:w="2822"/>
            <w:tcBorders>
              <w:top w:val="single" w:color="D9DEE4" w:sz="2"/>
              <w:left w:val="single" w:color="D9DEE4" w:sz="2"/>
              <w:bottom w:val="single" w:color="D9DEE4" w:sz="2"/>
              <w:right w:val="single" w:color="D9DEE4" w:sz="2"/>
            </w:tcBorders>
            <w:shd w:fill="F4F6F8" w:val="clear"/>
            <w:tcMar>
              <w:top w:type="dxa" w:w="90"/>
              <w:left w:type="dxa" w:w="140"/>
              <w:bottom w:type="dxa" w:w="90"/>
              <w:right w:type="dxa" w:w="140"/>
            </w:tcMar>
            <w:vAlign w:val="center"/>
          </w:tcPr>
          <w:p>
            <w:r>
              <w:rPr>
                <w:b/>
                <w:bCs/>
                <w:sz w:val="19"/>
                <w:szCs w:val="19"/>
              </w:rPr>
              <w:t xml:space="preserve">2. Diagnostic IA</w:t>
            </w:r>
          </w:p>
        </w:tc>
        <w:tc>
          <w:tcPr>
            <w:tcW w:type="dxa" w:w="7258"/>
            <w:tcBorders>
              <w:top w:val="single" w:color="D9DEE4" w:sz="2"/>
              <w:left w:val="single" w:color="D9DEE4" w:sz="2"/>
              <w:bottom w:val="single" w:color="D9DEE4" w:sz="2"/>
              <w:right w:val="single" w:color="D9DEE4" w:sz="2"/>
            </w:tcBorders>
            <w:shd w:fill="F4F6F8" w:val="clear"/>
            <w:tcMar>
              <w:top w:type="dxa" w:w="90"/>
              <w:left w:type="dxa" w:w="140"/>
              <w:bottom w:type="dxa" w:w="90"/>
              <w:right w:type="dxa" w:w="140"/>
            </w:tcMar>
            <w:vAlign w:val="center"/>
          </w:tcPr>
          <w:p>
            <w:r>
              <w:rPr>
                <w:b w:val="false"/>
                <w:bCs w:val="false"/>
                <w:sz w:val="19"/>
                <w:szCs w:val="19"/>
              </w:rPr>
              <w:t xml:space="preserve">Un modèle d'intelligence artificielle générative (GPT-4o) lit la description et détermine : la catégorie du problème (réseau, matériel, logiciel, accès, sécurité...), son niveau de criticité, et un score de confiance sur la fiabilité de sa proposition de résolution.</w:t>
            </w:r>
          </w:p>
        </w:tc>
      </w:tr>
      <w:tr>
        <w:tc>
          <w:tcPr>
            <w:tcW w:type="dxa" w:w="2822"/>
            <w:tcBorders>
              <w:top w:val="single" w:color="D9DEE4" w:sz="2"/>
              <w:left w:val="single" w:color="D9DEE4" w:sz="2"/>
              <w:bottom w:val="single" w:color="D9DEE4" w:sz="2"/>
              <w:right w:val="single" w:color="D9DEE4" w:sz="2"/>
            </w:tcBorders>
            <w:shd w:fill="FFFFFF" w:val="clear"/>
            <w:tcMar>
              <w:top w:type="dxa" w:w="90"/>
              <w:left w:type="dxa" w:w="140"/>
              <w:bottom w:type="dxa" w:w="90"/>
              <w:right w:type="dxa" w:w="140"/>
            </w:tcMar>
            <w:vAlign w:val="center"/>
          </w:tcPr>
          <w:p>
            <w:r>
              <w:rPr>
                <w:b/>
                <w:bCs/>
                <w:sz w:val="19"/>
                <w:szCs w:val="19"/>
              </w:rPr>
              <w:t xml:space="preserve">3. Décision</w:t>
            </w:r>
          </w:p>
        </w:tc>
        <w:tc>
          <w:tcPr>
            <w:tcW w:type="dxa" w:w="7258"/>
            <w:tcBorders>
              <w:top w:val="single" w:color="D9DEE4" w:sz="2"/>
              <w:left w:val="single" w:color="D9DEE4" w:sz="2"/>
              <w:bottom w:val="single" w:color="D9DEE4" w:sz="2"/>
              <w:right w:val="single" w:color="D9DEE4" w:sz="2"/>
            </w:tcBorders>
            <w:shd w:fill="FFFFFF" w:val="clear"/>
            <w:tcMar>
              <w:top w:type="dxa" w:w="90"/>
              <w:left w:type="dxa" w:w="140"/>
              <w:bottom w:type="dxa" w:w="90"/>
              <w:right w:type="dxa" w:w="140"/>
            </w:tcMar>
            <w:vAlign w:val="center"/>
          </w:tcPr>
          <w:p>
            <w:r>
              <w:rPr>
                <w:b w:val="false"/>
                <w:bCs w:val="false"/>
                <w:sz w:val="19"/>
                <w:szCs w:val="19"/>
              </w:rPr>
              <w:t xml:space="preserve">Si la confiance dépasse le seuil retenu ET que le problème est du type « auto-résolvable », une réponse est envoyée directement à l'utilisateur. Sinon, le ticket est escaladé avec un brief de diagnostic complet transmis au technicien compétent.</w:t>
            </w:r>
          </w:p>
        </w:tc>
      </w:tr>
      <w:tr>
        <w:tc>
          <w:tcPr>
            <w:tcW w:type="dxa" w:w="2822"/>
            <w:tcBorders>
              <w:top w:val="single" w:color="D9DEE4" w:sz="2"/>
              <w:left w:val="single" w:color="D9DEE4" w:sz="2"/>
              <w:bottom w:val="single" w:color="D9DEE4" w:sz="2"/>
              <w:right w:val="single" w:color="D9DEE4" w:sz="2"/>
            </w:tcBorders>
            <w:shd w:fill="F4F6F8" w:val="clear"/>
            <w:tcMar>
              <w:top w:type="dxa" w:w="90"/>
              <w:left w:type="dxa" w:w="140"/>
              <w:bottom w:type="dxa" w:w="90"/>
              <w:right w:type="dxa" w:w="140"/>
            </w:tcMar>
            <w:vAlign w:val="center"/>
          </w:tcPr>
          <w:p>
            <w:r>
              <w:rPr>
                <w:b/>
                <w:bCs/>
                <w:sz w:val="19"/>
                <w:szCs w:val="19"/>
              </w:rPr>
              <w:t xml:space="preserve">4. Suivi</w:t>
            </w:r>
          </w:p>
        </w:tc>
        <w:tc>
          <w:tcPr>
            <w:tcW w:type="dxa" w:w="7258"/>
            <w:tcBorders>
              <w:top w:val="single" w:color="D9DEE4" w:sz="2"/>
              <w:left w:val="single" w:color="D9DEE4" w:sz="2"/>
              <w:bottom w:val="single" w:color="D9DEE4" w:sz="2"/>
              <w:right w:val="single" w:color="D9DEE4" w:sz="2"/>
            </w:tcBorders>
            <w:shd w:fill="F4F6F8" w:val="clear"/>
            <w:tcMar>
              <w:top w:type="dxa" w:w="90"/>
              <w:left w:type="dxa" w:w="140"/>
              <w:bottom w:type="dxa" w:w="90"/>
              <w:right w:type="dxa" w:w="140"/>
            </w:tcMar>
            <w:vAlign w:val="center"/>
          </w:tcPr>
          <w:p>
            <w:r>
              <w:rPr>
                <w:b w:val="false"/>
                <w:bCs w:val="false"/>
                <w:sz w:val="19"/>
                <w:szCs w:val="19"/>
              </w:rPr>
              <w:t xml:space="preserve">Un délai de résolution cible est attribué (de 1 heure pour les incidents critiques à 24 heures pour les demandes non urgentes), avec traçabilité complète de l'échéance.</w:t>
            </w:r>
          </w:p>
        </w:tc>
      </w:tr>
    </w:tbl>
    <w:p>
      <w:pPr>
        <w:pStyle w:val="Heading2"/>
      </w:pPr>
      <w:r>
        <w:t xml:space="preserve">Exemple réel testé</w:t>
      </w:r>
    </w:p>
    <w:p>
      <w:pPr>
        <w:spacing w:after="160" w:before="0"/>
      </w:pPr>
      <w:r>
        <w:rPr>
          <w:i/>
          <w:iCs/>
          <w:color w:val="5A6472"/>
          <w:sz w:val="21"/>
          <w:szCs w:val="21"/>
        </w:rPr>
        <w:t xml:space="preserve">Lors des tests réalisés avant ce webinaire, un ticket réel a été soumis : « Latence sur le réseau — depuis 8h45 ce matin, coupures internet intermittentes, pertes de paquets constatées ». En 6 secondes, le système a déterminé : catégorie réseau, confiance de diagnostic 95 %, et malgré cette confiance élevée, a jugé le problème non auto-résolvable (une latence réseau nécessite une intervention technique réelle) — décision correctement escaladée vers l'équipe Réseau, avec un email de confirmation reçu instantanément par l'utilisateur.</w:t>
      </w:r>
    </w:p>
    <w:p>
      <w:r>
        <w:br w:type="page"/>
      </w:r>
    </w:p>
    <w:p>
      <w:pPr>
        <w:pStyle w:val="Heading1"/>
      </w:pPr>
      <w:r>
        <w:t xml:space="preserve">4. Comment ce cas d'usage a été conçu</w:t>
      </w:r>
    </w:p>
    <w:p>
      <w:pPr>
        <w:spacing w:after="160" w:before="0"/>
      </w:pPr>
      <w:r>
        <w:rPr>
          <w:sz w:val="21"/>
          <w:szCs w:val="21"/>
        </w:rPr>
        <w:t xml:space="preserve">La conception n'a pas commencé par la technologie, mais par le problème métier : comprendre où le temps se perdait réellement dans le traitement d'un ticket, et à quel moment une décision humaine était vraiment indispensable.</w:t>
      </w:r>
    </w:p>
    <w:p>
      <w:pPr>
        <w:pStyle w:val="ListParagraph"/>
        <w:numPr>
          <w:ilvl w:val="0"/>
          <w:numId w:val="3"/>
        </w:numPr>
        <w:spacing w:after="100"/>
      </w:pPr>
      <w:r>
        <w:rPr>
          <w:sz w:val="21"/>
          <w:szCs w:val="21"/>
        </w:rPr>
        <w:t xml:space="preserve">Diagnostic du besoin — identifier les étapes répétitives et sans valeur ajoutée du traitement actuel (triage, routage) par opposition aux étapes qui exigent un jugement humain (résolution technique complexe, décision d'escalade).</w:t>
      </w:r>
    </w:p>
    <w:p>
      <w:pPr>
        <w:pStyle w:val="ListParagraph"/>
        <w:numPr>
          <w:ilvl w:val="0"/>
          <w:numId w:val="3"/>
        </w:numPr>
        <w:spacing w:after="100"/>
      </w:pPr>
      <w:r>
        <w:rPr>
          <w:sz w:val="21"/>
          <w:szCs w:val="21"/>
        </w:rPr>
        <w:t xml:space="preserve">Choix des seuils de décision — définir à partir de quel niveau de confiance de l'IA une résolution automatique est acceptable, et documenter clairement les cas où l'humain reste seul décisionnaire.</w:t>
      </w:r>
    </w:p>
    <w:p>
      <w:pPr>
        <w:pStyle w:val="ListParagraph"/>
        <w:numPr>
          <w:ilvl w:val="0"/>
          <w:numId w:val="3"/>
        </w:numPr>
        <w:spacing w:after="100"/>
      </w:pPr>
      <w:r>
        <w:rPr>
          <w:sz w:val="21"/>
          <w:szCs w:val="21"/>
        </w:rPr>
        <w:t xml:space="preserve">Prototypage du flux complet — construction du parcours de bout en bout (réception, diagnostic, décision, notification, suivi) sous forme de workflow automatisé, sans code applicatif lourd à maintenir.</w:t>
      </w:r>
    </w:p>
    <w:p>
      <w:pPr>
        <w:pStyle w:val="ListParagraph"/>
        <w:numPr>
          <w:ilvl w:val="0"/>
          <w:numId w:val="3"/>
        </w:numPr>
        <w:spacing w:after="100"/>
      </w:pPr>
      <w:r>
        <w:rPr>
          <w:sz w:val="21"/>
          <w:szCs w:val="21"/>
        </w:rPr>
        <w:t xml:space="preserve">Tests en conditions réelles — soumission de vrais tickets, vérification que les emails partent réellement, que les délais sont respectés, et ajustement des seuils et de la logique de classification avant toute mise en production.</w:t>
      </w:r>
    </w:p>
    <w:p>
      <w:pPr>
        <w:spacing w:after="160" w:before="0"/>
      </w:pPr>
      <w:r>
        <w:rPr>
          <w:sz w:val="21"/>
          <w:szCs w:val="21"/>
        </w:rPr>
        <w:t xml:space="preserve">Cette approche — comprendre le métier avant la technique, puis valider par des tests réels plutôt que par la théorie — est la méthode appliquée systématiquement par TransferAI Africa sur chacun de ses cas d'usage.</w:t>
      </w:r>
    </w:p>
    <w:p>
      <w:pPr>
        <w:pStyle w:val="Heading1"/>
      </w:pPr>
      <w:r>
        <w:t xml:space="preserve">5. Ce qu'il a fallu pour le construire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3830"/>
        <w:gridCol w:w="4032"/>
      </w:tblGrid>
      <w:tr>
        <w:trPr>
          <w:tblHeader/>
        </w:trPr>
        <w:tc>
          <w:tcPr>
            <w:tcW w:type="dxa" w:w="2218"/>
            <w:tcBorders>
              <w:top w:val="single" w:color="D9DEE4" w:sz="2"/>
              <w:left w:val="single" w:color="D9DEE4" w:sz="2"/>
              <w:bottom w:val="single" w:color="D9DEE4" w:sz="2"/>
              <w:right w:val="single" w:color="D9DEE4" w:sz="2"/>
            </w:tcBorders>
            <w:shd w:fill="10263F" w:val="clear"/>
            <w:tcMar>
              <w:top w:type="dxa" w:w="100"/>
              <w:left w:type="dxa" w:w="120"/>
              <w:bottom w:type="dxa" w:w="100"/>
              <w:right w:type="dxa" w:w="120"/>
            </w:tcMar>
            <w:vAlign w:val="center"/>
          </w:tcPr>
          <w:p>
            <w:r>
              <w:rPr>
                <w:b/>
                <w:bCs/>
                <w:color w:val="FFFFFF"/>
                <w:sz w:val="18"/>
                <w:szCs w:val="18"/>
              </w:rPr>
              <w:t xml:space="preserve">Brique</w:t>
            </w:r>
          </w:p>
        </w:tc>
        <w:tc>
          <w:tcPr>
            <w:tcW w:type="dxa" w:w="3830"/>
            <w:tcBorders>
              <w:top w:val="single" w:color="D9DEE4" w:sz="2"/>
              <w:left w:val="single" w:color="D9DEE4" w:sz="2"/>
              <w:bottom w:val="single" w:color="D9DEE4" w:sz="2"/>
              <w:right w:val="single" w:color="D9DEE4" w:sz="2"/>
            </w:tcBorders>
            <w:shd w:fill="10263F" w:val="clear"/>
            <w:tcMar>
              <w:top w:type="dxa" w:w="100"/>
              <w:left w:type="dxa" w:w="120"/>
              <w:bottom w:type="dxa" w:w="100"/>
              <w:right w:type="dxa" w:w="120"/>
            </w:tcMar>
            <w:vAlign w:val="center"/>
          </w:tcPr>
          <w:p>
            <w:r>
              <w:rPr>
                <w:b/>
                <w:bCs/>
                <w:color w:val="FFFFFF"/>
                <w:sz w:val="18"/>
                <w:szCs w:val="18"/>
              </w:rPr>
              <w:t xml:space="preserve">Rôle</w:t>
            </w:r>
          </w:p>
        </w:tc>
        <w:tc>
          <w:tcPr>
            <w:tcW w:type="dxa" w:w="4032"/>
            <w:tcBorders>
              <w:top w:val="single" w:color="D9DEE4" w:sz="2"/>
              <w:left w:val="single" w:color="D9DEE4" w:sz="2"/>
              <w:bottom w:val="single" w:color="D9DEE4" w:sz="2"/>
              <w:right w:val="single" w:color="D9DEE4" w:sz="2"/>
            </w:tcBorders>
            <w:shd w:fill="10263F" w:val="clear"/>
            <w:tcMar>
              <w:top w:type="dxa" w:w="100"/>
              <w:left w:type="dxa" w:w="120"/>
              <w:bottom w:type="dxa" w:w="100"/>
              <w:right w:type="dxa" w:w="120"/>
            </w:tcMar>
            <w:vAlign w:val="center"/>
          </w:tcPr>
          <w:p>
            <w:r>
              <w:rPr>
                <w:b/>
                <w:bCs/>
                <w:color w:val="FFFFFF"/>
                <w:sz w:val="18"/>
                <w:szCs w:val="18"/>
              </w:rPr>
              <w:t xml:space="preserve">Pourquoi celle-ci</w:t>
            </w:r>
          </w:p>
        </w:tc>
      </w:tr>
      <w:tr>
        <w:tc>
          <w:tcPr>
            <w:tcW w:type="dxa" w:w="2218"/>
            <w:tcBorders>
              <w:top w:val="single" w:color="D9DEE4" w:sz="2"/>
              <w:left w:val="single" w:color="D9DEE4" w:sz="2"/>
              <w:bottom w:val="single" w:color="D9DEE4" w:sz="2"/>
              <w:right w:val="single" w:color="D9DEE4" w:sz="2"/>
            </w:tcBorders>
            <w:shd w:fill="FFFFFF" w:val="clear"/>
            <w:tcMar>
              <w:top w:type="dxa" w:w="90"/>
              <w:left w:type="dxa" w:w="120"/>
              <w:bottom w:type="dxa" w:w="90"/>
              <w:right w:type="dxa" w:w="120"/>
            </w:tcMar>
            <w:vAlign w:val="center"/>
          </w:tcPr>
          <w:p>
            <w:r>
              <w:rPr>
                <w:b/>
                <w:bCs/>
                <w:sz w:val="18"/>
                <w:szCs w:val="18"/>
              </w:rPr>
              <w:t xml:space="preserve">Plateforme d'automatisation</w:t>
            </w:r>
          </w:p>
        </w:tc>
        <w:tc>
          <w:tcPr>
            <w:tcW w:type="dxa" w:w="3830"/>
            <w:tcBorders>
              <w:top w:val="single" w:color="D9DEE4" w:sz="2"/>
              <w:left w:val="single" w:color="D9DEE4" w:sz="2"/>
              <w:bottom w:val="single" w:color="D9DEE4" w:sz="2"/>
              <w:right w:val="single" w:color="D9DEE4" w:sz="2"/>
            </w:tcBorders>
            <w:shd w:fill="FFFFFF" w:val="clear"/>
            <w:tcMar>
              <w:top w:type="dxa" w:w="90"/>
              <w:left w:type="dxa" w:w="120"/>
              <w:bottom w:type="dxa" w:w="90"/>
              <w:right w:type="dxa" w:w="120"/>
            </w:tcMar>
            <w:vAlign w:val="center"/>
          </w:tcPr>
          <w:p>
            <w:r>
              <w:rPr>
                <w:b w:val="false"/>
                <w:bCs w:val="false"/>
                <w:sz w:val="18"/>
                <w:szCs w:val="18"/>
              </w:rPr>
              <w:t xml:space="preserve">Orchestrer le parcours du ticket de bout en bout (réception → décision → notification → suivi) sans développer une application sur mesure.</w:t>
            </w:r>
          </w:p>
        </w:tc>
        <w:tc>
          <w:tcPr>
            <w:tcW w:type="dxa" w:w="4032"/>
            <w:tcBorders>
              <w:top w:val="single" w:color="D9DEE4" w:sz="2"/>
              <w:left w:val="single" w:color="D9DEE4" w:sz="2"/>
              <w:bottom w:val="single" w:color="D9DEE4" w:sz="2"/>
              <w:right w:val="single" w:color="D9DEE4" w:sz="2"/>
            </w:tcBorders>
            <w:shd w:fill="FFFFFF" w:val="clear"/>
            <w:tcMar>
              <w:top w:type="dxa" w:w="90"/>
              <w:left w:type="dxa" w:w="120"/>
              <w:bottom w:type="dxa" w:w="90"/>
              <w:right w:type="dxa" w:w="120"/>
            </w:tcMar>
            <w:vAlign w:val="center"/>
          </w:tcPr>
          <w:p>
            <w:r>
              <w:rPr>
                <w:b w:val="false"/>
                <w:bCs w:val="false"/>
                <w:sz w:val="18"/>
                <w:szCs w:val="18"/>
              </w:rPr>
              <w:t xml:space="preserve">Permet d'assembler et de faire évoluer rapidement un processus métier complexe, avec une visibilité complète sur chaque étape.</w:t>
            </w:r>
          </w:p>
        </w:tc>
      </w:tr>
      <w:tr>
        <w:tc>
          <w:tcPr>
            <w:tcW w:type="dxa" w:w="2218"/>
            <w:tcBorders>
              <w:top w:val="single" w:color="D9DEE4" w:sz="2"/>
              <w:left w:val="single" w:color="D9DEE4" w:sz="2"/>
              <w:bottom w:val="single" w:color="D9DEE4" w:sz="2"/>
              <w:right w:val="single" w:color="D9DEE4" w:sz="2"/>
            </w:tcBorders>
            <w:shd w:fill="F4F6F8" w:val="clear"/>
            <w:tcMar>
              <w:top w:type="dxa" w:w="90"/>
              <w:left w:type="dxa" w:w="120"/>
              <w:bottom w:type="dxa" w:w="90"/>
              <w:right w:type="dxa" w:w="120"/>
            </w:tcMar>
            <w:vAlign w:val="center"/>
          </w:tcPr>
          <w:p>
            <w:r>
              <w:rPr>
                <w:b/>
                <w:bCs/>
                <w:sz w:val="18"/>
                <w:szCs w:val="18"/>
              </w:rPr>
              <w:t xml:space="preserve">Intelligence artificielle générative</w:t>
            </w:r>
          </w:p>
        </w:tc>
        <w:tc>
          <w:tcPr>
            <w:tcW w:type="dxa" w:w="3830"/>
            <w:tcBorders>
              <w:top w:val="single" w:color="D9DEE4" w:sz="2"/>
              <w:left w:val="single" w:color="D9DEE4" w:sz="2"/>
              <w:bottom w:val="single" w:color="D9DEE4" w:sz="2"/>
              <w:right w:val="single" w:color="D9DEE4" w:sz="2"/>
            </w:tcBorders>
            <w:shd w:fill="F4F6F8" w:val="clear"/>
            <w:tcMar>
              <w:top w:type="dxa" w:w="90"/>
              <w:left w:type="dxa" w:w="120"/>
              <w:bottom w:type="dxa" w:w="90"/>
              <w:right w:type="dxa" w:w="120"/>
            </w:tcMar>
            <w:vAlign w:val="center"/>
          </w:tcPr>
          <w:p>
            <w:r>
              <w:rPr>
                <w:b w:val="false"/>
                <w:bCs w:val="false"/>
                <w:sz w:val="18"/>
                <w:szCs w:val="18"/>
              </w:rPr>
              <w:t xml:space="preserve">Lire et comprendre la description du problème en langage naturel, proposer une catégorie, une criticité et une réponse.</w:t>
            </w:r>
          </w:p>
        </w:tc>
        <w:tc>
          <w:tcPr>
            <w:tcW w:type="dxa" w:w="4032"/>
            <w:tcBorders>
              <w:top w:val="single" w:color="D9DEE4" w:sz="2"/>
              <w:left w:val="single" w:color="D9DEE4" w:sz="2"/>
              <w:bottom w:val="single" w:color="D9DEE4" w:sz="2"/>
              <w:right w:val="single" w:color="D9DEE4" w:sz="2"/>
            </w:tcBorders>
            <w:shd w:fill="F4F6F8" w:val="clear"/>
            <w:tcMar>
              <w:top w:type="dxa" w:w="90"/>
              <w:left w:type="dxa" w:w="120"/>
              <w:bottom w:type="dxa" w:w="90"/>
              <w:right w:type="dxa" w:w="120"/>
            </w:tcMar>
            <w:vAlign w:val="center"/>
          </w:tcPr>
          <w:p>
            <w:r>
              <w:rPr>
                <w:b w:val="false"/>
                <w:bCs w:val="false"/>
                <w:sz w:val="18"/>
                <w:szCs w:val="18"/>
              </w:rPr>
              <w:t xml:space="preserve">Remplace un triage humain répétitif par une analyse cohérente et disponible en continu, tout en gardant l'humain décisionnaire au-delà d'un certain seuil.</w:t>
            </w:r>
          </w:p>
        </w:tc>
      </w:tr>
      <w:tr>
        <w:tc>
          <w:tcPr>
            <w:tcW w:type="dxa" w:w="2218"/>
            <w:tcBorders>
              <w:top w:val="single" w:color="D9DEE4" w:sz="2"/>
              <w:left w:val="single" w:color="D9DEE4" w:sz="2"/>
              <w:bottom w:val="single" w:color="D9DEE4" w:sz="2"/>
              <w:right w:val="single" w:color="D9DEE4" w:sz="2"/>
            </w:tcBorders>
            <w:shd w:fill="FFFFFF" w:val="clear"/>
            <w:tcMar>
              <w:top w:type="dxa" w:w="90"/>
              <w:left w:type="dxa" w:w="120"/>
              <w:bottom w:type="dxa" w:w="90"/>
              <w:right w:type="dxa" w:w="120"/>
            </w:tcMar>
            <w:vAlign w:val="center"/>
          </w:tcPr>
          <w:p>
            <w:r>
              <w:rPr>
                <w:b/>
                <w:bCs/>
                <w:sz w:val="18"/>
                <w:szCs w:val="18"/>
              </w:rPr>
              <w:t xml:space="preserve">Messagerie automatisée</w:t>
            </w:r>
          </w:p>
        </w:tc>
        <w:tc>
          <w:tcPr>
            <w:tcW w:type="dxa" w:w="3830"/>
            <w:tcBorders>
              <w:top w:val="single" w:color="D9DEE4" w:sz="2"/>
              <w:left w:val="single" w:color="D9DEE4" w:sz="2"/>
              <w:bottom w:val="single" w:color="D9DEE4" w:sz="2"/>
              <w:right w:val="single" w:color="D9DEE4" w:sz="2"/>
            </w:tcBorders>
            <w:shd w:fill="FFFFFF" w:val="clear"/>
            <w:tcMar>
              <w:top w:type="dxa" w:w="90"/>
              <w:left w:type="dxa" w:w="120"/>
              <w:bottom w:type="dxa" w:w="90"/>
              <w:right w:type="dxa" w:w="120"/>
            </w:tcMar>
            <w:vAlign w:val="center"/>
          </w:tcPr>
          <w:p>
            <w:r>
              <w:rPr>
                <w:b w:val="false"/>
                <w:bCs w:val="false"/>
                <w:sz w:val="18"/>
                <w:szCs w:val="18"/>
              </w:rPr>
              <w:t xml:space="preserve">Envoyer réellement les emails de résolution, d'accusé de réception et de brief technicien.</w:t>
            </w:r>
          </w:p>
        </w:tc>
        <w:tc>
          <w:tcPr>
            <w:tcW w:type="dxa" w:w="4032"/>
            <w:tcBorders>
              <w:top w:val="single" w:color="D9DEE4" w:sz="2"/>
              <w:left w:val="single" w:color="D9DEE4" w:sz="2"/>
              <w:bottom w:val="single" w:color="D9DEE4" w:sz="2"/>
              <w:right w:val="single" w:color="D9DEE4" w:sz="2"/>
            </w:tcBorders>
            <w:shd w:fill="FFFFFF" w:val="clear"/>
            <w:tcMar>
              <w:top w:type="dxa" w:w="90"/>
              <w:left w:type="dxa" w:w="120"/>
              <w:bottom w:type="dxa" w:w="90"/>
              <w:right w:type="dxa" w:w="120"/>
            </w:tcMar>
            <w:vAlign w:val="center"/>
          </w:tcPr>
          <w:p>
            <w:r>
              <w:rPr>
                <w:b w:val="false"/>
                <w:bCs w:val="false"/>
                <w:sz w:val="18"/>
                <w:szCs w:val="18"/>
              </w:rPr>
              <w:t xml:space="preserve">Le résultat du diagnostic doit atteindre les bonnes personnes sans étape manuelle supplémentaire.</w:t>
            </w:r>
          </w:p>
        </w:tc>
      </w:tr>
      <w:tr>
        <w:tc>
          <w:tcPr>
            <w:tcW w:type="dxa" w:w="2218"/>
            <w:tcBorders>
              <w:top w:val="single" w:color="D9DEE4" w:sz="2"/>
              <w:left w:val="single" w:color="D9DEE4" w:sz="2"/>
              <w:bottom w:val="single" w:color="D9DEE4" w:sz="2"/>
              <w:right w:val="single" w:color="D9DEE4" w:sz="2"/>
            </w:tcBorders>
            <w:shd w:fill="F4F6F8" w:val="clear"/>
            <w:tcMar>
              <w:top w:type="dxa" w:w="90"/>
              <w:left w:type="dxa" w:w="120"/>
              <w:bottom w:type="dxa" w:w="90"/>
              <w:right w:type="dxa" w:w="120"/>
            </w:tcMar>
            <w:vAlign w:val="center"/>
          </w:tcPr>
          <w:p>
            <w:r>
              <w:rPr>
                <w:b/>
                <w:bCs/>
                <w:sz w:val="18"/>
                <w:szCs w:val="18"/>
              </w:rPr>
              <w:t xml:space="preserve">Interface web de test</w:t>
            </w:r>
          </w:p>
        </w:tc>
        <w:tc>
          <w:tcPr>
            <w:tcW w:type="dxa" w:w="3830"/>
            <w:tcBorders>
              <w:top w:val="single" w:color="D9DEE4" w:sz="2"/>
              <w:left w:val="single" w:color="D9DEE4" w:sz="2"/>
              <w:bottom w:val="single" w:color="D9DEE4" w:sz="2"/>
              <w:right w:val="single" w:color="D9DEE4" w:sz="2"/>
            </w:tcBorders>
            <w:shd w:fill="F4F6F8" w:val="clear"/>
            <w:tcMar>
              <w:top w:type="dxa" w:w="90"/>
              <w:left w:type="dxa" w:w="120"/>
              <w:bottom w:type="dxa" w:w="90"/>
              <w:right w:type="dxa" w:w="120"/>
            </w:tcMar>
            <w:vAlign w:val="center"/>
          </w:tcPr>
          <w:p>
            <w:r>
              <w:rPr>
                <w:b w:val="false"/>
                <w:bCs w:val="false"/>
                <w:sz w:val="18"/>
                <w:szCs w:val="18"/>
              </w:rPr>
              <w:t xml:space="preserve">Permettre de soumettre un ticket et d'observer le traitement en direct, à des fins de démonstration et de validation.</w:t>
            </w:r>
          </w:p>
        </w:tc>
        <w:tc>
          <w:tcPr>
            <w:tcW w:type="dxa" w:w="4032"/>
            <w:tcBorders>
              <w:top w:val="single" w:color="D9DEE4" w:sz="2"/>
              <w:left w:val="single" w:color="D9DEE4" w:sz="2"/>
              <w:bottom w:val="single" w:color="D9DEE4" w:sz="2"/>
              <w:right w:val="single" w:color="D9DEE4" w:sz="2"/>
            </w:tcBorders>
            <w:shd w:fill="F4F6F8" w:val="clear"/>
            <w:tcMar>
              <w:top w:type="dxa" w:w="90"/>
              <w:left w:type="dxa" w:w="120"/>
              <w:bottom w:type="dxa" w:w="90"/>
              <w:right w:type="dxa" w:w="120"/>
            </w:tcMar>
            <w:vAlign w:val="center"/>
          </w:tcPr>
          <w:p>
            <w:r>
              <w:rPr>
                <w:b w:val="false"/>
                <w:bCs w:val="false"/>
                <w:sz w:val="18"/>
                <w:szCs w:val="18"/>
              </w:rPr>
              <w:t xml:space="preserve">Rend le fonctionnement du système visible et vérifiable, plutôt que de rester une boîte noire.</w:t>
            </w:r>
          </w:p>
        </w:tc>
      </w:tr>
      <w:tr>
        <w:tc>
          <w:tcPr>
            <w:tcW w:type="dxa" w:w="2218"/>
            <w:tcBorders>
              <w:top w:val="single" w:color="D9DEE4" w:sz="2"/>
              <w:left w:val="single" w:color="D9DEE4" w:sz="2"/>
              <w:bottom w:val="single" w:color="D9DEE4" w:sz="2"/>
              <w:right w:val="single" w:color="D9DEE4" w:sz="2"/>
            </w:tcBorders>
            <w:shd w:fill="FFFFFF" w:val="clear"/>
            <w:tcMar>
              <w:top w:type="dxa" w:w="90"/>
              <w:left w:type="dxa" w:w="120"/>
              <w:bottom w:type="dxa" w:w="90"/>
              <w:right w:type="dxa" w:w="120"/>
            </w:tcMar>
            <w:vAlign w:val="center"/>
          </w:tcPr>
          <w:p>
            <w:r>
              <w:rPr>
                <w:b/>
                <w:bCs/>
                <w:sz w:val="18"/>
                <w:szCs w:val="18"/>
              </w:rPr>
              <w:t xml:space="preserve">Base de données de suivi</w:t>
            </w:r>
          </w:p>
        </w:tc>
        <w:tc>
          <w:tcPr>
            <w:tcW w:type="dxa" w:w="3830"/>
            <w:tcBorders>
              <w:top w:val="single" w:color="D9DEE4" w:sz="2"/>
              <w:left w:val="single" w:color="D9DEE4" w:sz="2"/>
              <w:bottom w:val="single" w:color="D9DEE4" w:sz="2"/>
              <w:right w:val="single" w:color="D9DEE4" w:sz="2"/>
            </w:tcBorders>
            <w:shd w:fill="FFFFFF" w:val="clear"/>
            <w:tcMar>
              <w:top w:type="dxa" w:w="90"/>
              <w:left w:type="dxa" w:w="120"/>
              <w:bottom w:type="dxa" w:w="90"/>
              <w:right w:type="dxa" w:w="120"/>
            </w:tcMar>
            <w:vAlign w:val="center"/>
          </w:tcPr>
          <w:p>
            <w:r>
              <w:rPr>
                <w:b w:val="false"/>
                <w:bCs w:val="false"/>
                <w:sz w:val="18"/>
                <w:szCs w:val="18"/>
              </w:rPr>
              <w:t xml:space="preserve">Conserver l'historique des tickets traités, leur statut et les délais associés.</w:t>
            </w:r>
          </w:p>
        </w:tc>
        <w:tc>
          <w:tcPr>
            <w:tcW w:type="dxa" w:w="4032"/>
            <w:tcBorders>
              <w:top w:val="single" w:color="D9DEE4" w:sz="2"/>
              <w:left w:val="single" w:color="D9DEE4" w:sz="2"/>
              <w:bottom w:val="single" w:color="D9DEE4" w:sz="2"/>
              <w:right w:val="single" w:color="D9DEE4" w:sz="2"/>
            </w:tcBorders>
            <w:shd w:fill="FFFFFF" w:val="clear"/>
            <w:tcMar>
              <w:top w:type="dxa" w:w="90"/>
              <w:left w:type="dxa" w:w="120"/>
              <w:bottom w:type="dxa" w:w="90"/>
              <w:right w:type="dxa" w:w="120"/>
            </w:tcMar>
            <w:vAlign w:val="center"/>
          </w:tcPr>
          <w:p>
            <w:r>
              <w:rPr>
                <w:b w:val="false"/>
                <w:bCs w:val="false"/>
                <w:sz w:val="18"/>
                <w:szCs w:val="18"/>
              </w:rPr>
              <w:t xml:space="preserve">Base nécessaire pour un futur tableau de bord de pilotage SLA.</w:t>
            </w:r>
          </w:p>
        </w:tc>
      </w:tr>
    </w:tbl>
    <w:p>
      <w:pPr>
        <w:spacing w:after="160" w:before="0"/>
      </w:pPr>
      <w:r>
        <w:rPr>
          <w:i/>
          <w:iCs/>
          <w:color w:val="5A6472"/>
          <w:sz w:val="19"/>
          <w:szCs w:val="19"/>
        </w:rPr>
        <w:t xml:space="preserve">Aucune de ces briques n'a nécessité de refonte du système d'information existant : le principe retenu par TransferAI Africa est toujours de s'intégrer aux outils déjà en place (ITSM, messagerie, canaux de communication) plutôt que d'imposer un nouvel outil supplémentaire.</w:t>
      </w:r>
    </w:p>
    <w:p>
      <w:pPr>
        <w:pStyle w:val="Heading1"/>
      </w:pPr>
      <w:r>
        <w:t xml:space="preserve">6. Avant / après : ce que votre équipe gagne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38"/>
        <w:gridCol w:w="5242"/>
      </w:tblGrid>
      <w:tr>
        <w:trPr>
          <w:tblHeader/>
        </w:trPr>
        <w:tc>
          <w:tcPr>
            <w:tcW w:type="dxa" w:w="4838"/>
            <w:tcBorders>
              <w:top w:val="single" w:color="D9DEE4" w:sz="2"/>
              <w:left w:val="single" w:color="D9DEE4" w:sz="2"/>
              <w:bottom w:val="single" w:color="D9DEE4" w:sz="2"/>
              <w:right w:val="single" w:color="D9DEE4" w:sz="2"/>
            </w:tcBorders>
            <w:shd w:fill="10263F" w:val="clear"/>
            <w:tcMar>
              <w:top w:type="dxa" w:w="100"/>
              <w:left w:type="dxa" w:w="140"/>
              <w:bottom w:type="dxa" w:w="100"/>
              <w:right w:type="dxa" w:w="140"/>
            </w:tcMar>
            <w:vAlign w:val="center"/>
          </w:tcPr>
          <w:p>
            <w:r>
              <w:rPr>
                <w:b/>
                <w:bCs/>
                <w:color w:val="FFFFFF"/>
                <w:sz w:val="19"/>
                <w:szCs w:val="19"/>
              </w:rPr>
              <w:t xml:space="preserve">Aujourd'hui, sans IA</w:t>
            </w:r>
          </w:p>
        </w:tc>
        <w:tc>
          <w:tcPr>
            <w:tcW w:type="dxa" w:w="5242"/>
            <w:tcBorders>
              <w:top w:val="single" w:color="D9DEE4" w:sz="2"/>
              <w:left w:val="single" w:color="D9DEE4" w:sz="2"/>
              <w:bottom w:val="single" w:color="D9DEE4" w:sz="2"/>
              <w:right w:val="single" w:color="D9DEE4" w:sz="2"/>
            </w:tcBorders>
            <w:shd w:fill="10263F" w:val="clear"/>
            <w:tcMar>
              <w:top w:type="dxa" w:w="100"/>
              <w:left w:type="dxa" w:w="140"/>
              <w:bottom w:type="dxa" w:w="100"/>
              <w:right w:type="dxa" w:w="140"/>
            </w:tcMar>
            <w:vAlign w:val="center"/>
          </w:tcPr>
          <w:p>
            <w:r>
              <w:rPr>
                <w:b/>
                <w:bCs/>
                <w:color w:val="FFFFFF"/>
                <w:sz w:val="19"/>
                <w:szCs w:val="19"/>
              </w:rPr>
              <w:t xml:space="preserve">Avec Support IT Intelligent</w:t>
            </w:r>
          </w:p>
        </w:tc>
      </w:tr>
      <w:tr>
        <w:tc>
          <w:tcPr>
            <w:tcW w:type="dxa" w:w="4838"/>
            <w:tcBorders>
              <w:top w:val="single" w:color="D9DEE4" w:sz="2"/>
              <w:left w:val="single" w:color="D9DEE4" w:sz="2"/>
              <w:bottom w:val="single" w:color="D9DEE4" w:sz="2"/>
              <w:right w:val="single" w:color="D9DEE4" w:sz="2"/>
            </w:tcBorders>
            <w:shd w:fill="FFFFFF" w:val="clear"/>
            <w:tcMar>
              <w:top w:type="dxa" w:w="90"/>
              <w:left w:type="dxa" w:w="140"/>
              <w:bottom w:type="dxa" w:w="90"/>
              <w:right w:type="dxa" w:w="140"/>
            </w:tcMar>
            <w:vAlign w:val="center"/>
          </w:tcPr>
          <w:p>
            <w:r>
              <w:rPr>
                <w:b/>
                <w:bCs/>
                <w:sz w:val="19"/>
                <w:szCs w:val="19"/>
              </w:rPr>
              <w:t xml:space="preserve">Triage manuel : 15 à 30 minutes par ticket</w:t>
            </w:r>
          </w:p>
        </w:tc>
        <w:tc>
          <w:tcPr>
            <w:tcW w:type="dxa" w:w="5242"/>
            <w:tcBorders>
              <w:top w:val="single" w:color="D9DEE4" w:sz="2"/>
              <w:left w:val="single" w:color="D9DEE4" w:sz="2"/>
              <w:bottom w:val="single" w:color="D9DEE4" w:sz="2"/>
              <w:right w:val="single" w:color="D9DEE4" w:sz="2"/>
            </w:tcBorders>
            <w:shd w:fill="FFFFFF" w:val="clear"/>
            <w:tcMar>
              <w:top w:type="dxa" w:w="90"/>
              <w:left w:type="dxa" w:w="140"/>
              <w:bottom w:type="dxa" w:w="90"/>
              <w:right w:type="dxa" w:w="140"/>
            </w:tcMar>
            <w:vAlign w:val="center"/>
          </w:tcPr>
          <w:p>
            <w:r>
              <w:rPr>
                <w:b w:val="false"/>
                <w:bCs w:val="false"/>
                <w:sz w:val="19"/>
                <w:szCs w:val="19"/>
              </w:rPr>
              <w:t xml:space="preserve">Triage automatique par IA en quelques secondes</w:t>
            </w:r>
          </w:p>
        </w:tc>
      </w:tr>
      <w:tr>
        <w:tc>
          <w:tcPr>
            <w:tcW w:type="dxa" w:w="4838"/>
            <w:tcBorders>
              <w:top w:val="single" w:color="D9DEE4" w:sz="2"/>
              <w:left w:val="single" w:color="D9DEE4" w:sz="2"/>
              <w:bottom w:val="single" w:color="D9DEE4" w:sz="2"/>
              <w:right w:val="single" w:color="D9DEE4" w:sz="2"/>
            </w:tcBorders>
            <w:shd w:fill="F4F6F8" w:val="clear"/>
            <w:tcMar>
              <w:top w:type="dxa" w:w="90"/>
              <w:left w:type="dxa" w:w="140"/>
              <w:bottom w:type="dxa" w:w="90"/>
              <w:right w:type="dxa" w:w="140"/>
            </w:tcMar>
            <w:vAlign w:val="center"/>
          </w:tcPr>
          <w:p>
            <w:r>
              <w:rPr>
                <w:b/>
                <w:bCs/>
                <w:sz w:val="19"/>
                <w:szCs w:val="19"/>
              </w:rPr>
              <w:t xml:space="preserve">Routage par email, erreurs d'affectation fréquentes</w:t>
            </w:r>
          </w:p>
        </w:tc>
        <w:tc>
          <w:tcPr>
            <w:tcW w:type="dxa" w:w="5242"/>
            <w:tcBorders>
              <w:top w:val="single" w:color="D9DEE4" w:sz="2"/>
              <w:left w:val="single" w:color="D9DEE4" w:sz="2"/>
              <w:bottom w:val="single" w:color="D9DEE4" w:sz="2"/>
              <w:right w:val="single" w:color="D9DEE4" w:sz="2"/>
            </w:tcBorders>
            <w:shd w:fill="F4F6F8" w:val="clear"/>
            <w:tcMar>
              <w:top w:type="dxa" w:w="90"/>
              <w:left w:type="dxa" w:w="140"/>
              <w:bottom w:type="dxa" w:w="90"/>
              <w:right w:type="dxa" w:w="140"/>
            </w:tcMar>
            <w:vAlign w:val="center"/>
          </w:tcPr>
          <w:p>
            <w:r>
              <w:rPr>
                <w:b w:val="false"/>
                <w:bCs w:val="false"/>
                <w:sz w:val="19"/>
                <w:szCs w:val="19"/>
              </w:rPr>
              <w:t xml:space="preserve">Routage intelligent vers l'expert compétent, zéro erreur</w:t>
            </w:r>
          </w:p>
        </w:tc>
      </w:tr>
      <w:tr>
        <w:tc>
          <w:tcPr>
            <w:tcW w:type="dxa" w:w="4838"/>
            <w:tcBorders>
              <w:top w:val="single" w:color="D9DEE4" w:sz="2"/>
              <w:left w:val="single" w:color="D9DEE4" w:sz="2"/>
              <w:bottom w:val="single" w:color="D9DEE4" w:sz="2"/>
              <w:right w:val="single" w:color="D9DEE4" w:sz="2"/>
            </w:tcBorders>
            <w:shd w:fill="FFFFFF" w:val="clear"/>
            <w:tcMar>
              <w:top w:type="dxa" w:w="90"/>
              <w:left w:type="dxa" w:w="140"/>
              <w:bottom w:type="dxa" w:w="90"/>
              <w:right w:type="dxa" w:w="140"/>
            </w:tcMar>
            <w:vAlign w:val="center"/>
          </w:tcPr>
          <w:p>
            <w:r>
              <w:rPr>
                <w:b/>
                <w:bCs/>
                <w:sz w:val="19"/>
                <w:szCs w:val="19"/>
              </w:rPr>
              <w:t xml:space="preserve">Aucune visibilité sur les délais en temps réel</w:t>
            </w:r>
          </w:p>
        </w:tc>
        <w:tc>
          <w:tcPr>
            <w:tcW w:type="dxa" w:w="5242"/>
            <w:tcBorders>
              <w:top w:val="single" w:color="D9DEE4" w:sz="2"/>
              <w:left w:val="single" w:color="D9DEE4" w:sz="2"/>
              <w:bottom w:val="single" w:color="D9DEE4" w:sz="2"/>
              <w:right w:val="single" w:color="D9DEE4" w:sz="2"/>
            </w:tcBorders>
            <w:shd w:fill="FFFFFF" w:val="clear"/>
            <w:tcMar>
              <w:top w:type="dxa" w:w="90"/>
              <w:left w:type="dxa" w:w="140"/>
              <w:bottom w:type="dxa" w:w="90"/>
              <w:right w:type="dxa" w:w="140"/>
            </w:tcMar>
            <w:vAlign w:val="center"/>
          </w:tcPr>
          <w:p>
            <w:r>
              <w:rPr>
                <w:b w:val="false"/>
                <w:bCs w:val="false"/>
                <w:sz w:val="19"/>
                <w:szCs w:val="19"/>
              </w:rPr>
              <w:t xml:space="preserve">Délai de résolution attribué dès la réception, traçable</w:t>
            </w:r>
          </w:p>
        </w:tc>
      </w:tr>
      <w:tr>
        <w:tc>
          <w:tcPr>
            <w:tcW w:type="dxa" w:w="4838"/>
            <w:tcBorders>
              <w:top w:val="single" w:color="D9DEE4" w:sz="2"/>
              <w:left w:val="single" w:color="D9DEE4" w:sz="2"/>
              <w:bottom w:val="single" w:color="D9DEE4" w:sz="2"/>
              <w:right w:val="single" w:color="D9DEE4" w:sz="2"/>
            </w:tcBorders>
            <w:shd w:fill="F4F6F8" w:val="clear"/>
            <w:tcMar>
              <w:top w:type="dxa" w:w="90"/>
              <w:left w:type="dxa" w:w="140"/>
              <w:bottom w:type="dxa" w:w="90"/>
              <w:right w:type="dxa" w:w="140"/>
            </w:tcMar>
            <w:vAlign w:val="center"/>
          </w:tcPr>
          <w:p>
            <w:r>
              <w:rPr>
                <w:b/>
                <w:bCs/>
                <w:sz w:val="19"/>
                <w:szCs w:val="19"/>
              </w:rPr>
              <w:t xml:space="preserve">Résolution de premier niveau : 4 à 8 heures en moyenne</w:t>
            </w:r>
          </w:p>
        </w:tc>
        <w:tc>
          <w:tcPr>
            <w:tcW w:type="dxa" w:w="5242"/>
            <w:tcBorders>
              <w:top w:val="single" w:color="D9DEE4" w:sz="2"/>
              <w:left w:val="single" w:color="D9DEE4" w:sz="2"/>
              <w:bottom w:val="single" w:color="D9DEE4" w:sz="2"/>
              <w:right w:val="single" w:color="D9DEE4" w:sz="2"/>
            </w:tcBorders>
            <w:shd w:fill="F4F6F8" w:val="clear"/>
            <w:tcMar>
              <w:top w:type="dxa" w:w="90"/>
              <w:left w:type="dxa" w:w="140"/>
              <w:bottom w:type="dxa" w:w="90"/>
              <w:right w:type="dxa" w:w="140"/>
            </w:tcMar>
            <w:vAlign w:val="center"/>
          </w:tcPr>
          <w:p>
            <w:r>
              <w:rPr>
                <w:b w:val="false"/>
                <w:bCs w:val="false"/>
                <w:sz w:val="19"/>
                <w:szCs w:val="19"/>
              </w:rPr>
              <w:t xml:space="preserve">Résolution automatique en quelques minutes pour les cas éligibles</w:t>
            </w:r>
          </w:p>
        </w:tc>
      </w:tr>
      <w:tr>
        <w:tc>
          <w:tcPr>
            <w:tcW w:type="dxa" w:w="4838"/>
            <w:tcBorders>
              <w:top w:val="single" w:color="D9DEE4" w:sz="2"/>
              <w:left w:val="single" w:color="D9DEE4" w:sz="2"/>
              <w:bottom w:val="single" w:color="D9DEE4" w:sz="2"/>
              <w:right w:val="single" w:color="D9DEE4" w:sz="2"/>
            </w:tcBorders>
            <w:shd w:fill="FFFFFF" w:val="clear"/>
            <w:tcMar>
              <w:top w:type="dxa" w:w="90"/>
              <w:left w:type="dxa" w:w="140"/>
              <w:bottom w:type="dxa" w:w="90"/>
              <w:right w:type="dxa" w:w="140"/>
            </w:tcMar>
            <w:vAlign w:val="center"/>
          </w:tcPr>
          <w:p>
            <w:r>
              <w:rPr>
                <w:b/>
                <w:bCs/>
                <w:sz w:val="19"/>
                <w:szCs w:val="19"/>
              </w:rPr>
              <w:t xml:space="preserve">Perte de contexte lors de la transmission à un technicien</w:t>
            </w:r>
          </w:p>
        </w:tc>
        <w:tc>
          <w:tcPr>
            <w:tcW w:type="dxa" w:w="5242"/>
            <w:tcBorders>
              <w:top w:val="single" w:color="D9DEE4" w:sz="2"/>
              <w:left w:val="single" w:color="D9DEE4" w:sz="2"/>
              <w:bottom w:val="single" w:color="D9DEE4" w:sz="2"/>
              <w:right w:val="single" w:color="D9DEE4" w:sz="2"/>
            </w:tcBorders>
            <w:shd w:fill="FFFFFF" w:val="clear"/>
            <w:tcMar>
              <w:top w:type="dxa" w:w="90"/>
              <w:left w:type="dxa" w:w="140"/>
              <w:bottom w:type="dxa" w:w="90"/>
              <w:right w:type="dxa" w:w="140"/>
            </w:tcMar>
            <w:vAlign w:val="center"/>
          </w:tcPr>
          <w:p>
            <w:r>
              <w:rPr>
                <w:b w:val="false"/>
                <w:bCs w:val="false"/>
                <w:sz w:val="19"/>
                <w:szCs w:val="19"/>
              </w:rPr>
              <w:t xml:space="preserve">Brief de diagnostic complet transmis automatiquement</w:t>
            </w:r>
          </w:p>
        </w:tc>
      </w:tr>
      <w:tr>
        <w:tc>
          <w:tcPr>
            <w:tcW w:type="dxa" w:w="4838"/>
            <w:tcBorders>
              <w:top w:val="single" w:color="D9DEE4" w:sz="2"/>
              <w:left w:val="single" w:color="D9DEE4" w:sz="2"/>
              <w:bottom w:val="single" w:color="D9DEE4" w:sz="2"/>
              <w:right w:val="single" w:color="D9DEE4" w:sz="2"/>
            </w:tcBorders>
            <w:shd w:fill="F4F6F8" w:val="clear"/>
            <w:tcMar>
              <w:top w:type="dxa" w:w="90"/>
              <w:left w:type="dxa" w:w="140"/>
              <w:bottom w:type="dxa" w:w="90"/>
              <w:right w:type="dxa" w:w="140"/>
            </w:tcMar>
            <w:vAlign w:val="center"/>
          </w:tcPr>
          <w:p>
            <w:r>
              <w:rPr>
                <w:b/>
                <w:bCs/>
                <w:sz w:val="19"/>
                <w:szCs w:val="19"/>
              </w:rPr>
              <w:t xml:space="preserve">Criticité évaluée sur la base de ce que déclare l'utilisateur</w:t>
            </w:r>
          </w:p>
        </w:tc>
        <w:tc>
          <w:tcPr>
            <w:tcW w:type="dxa" w:w="5242"/>
            <w:tcBorders>
              <w:top w:val="single" w:color="D9DEE4" w:sz="2"/>
              <w:left w:val="single" w:color="D9DEE4" w:sz="2"/>
              <w:bottom w:val="single" w:color="D9DEE4" w:sz="2"/>
              <w:right w:val="single" w:color="D9DEE4" w:sz="2"/>
            </w:tcBorders>
            <w:shd w:fill="F4F6F8" w:val="clear"/>
            <w:tcMar>
              <w:top w:type="dxa" w:w="90"/>
              <w:left w:type="dxa" w:w="140"/>
              <w:bottom w:type="dxa" w:w="90"/>
              <w:right w:type="dxa" w:w="140"/>
            </w:tcMar>
            <w:vAlign w:val="center"/>
          </w:tcPr>
          <w:p>
            <w:r>
              <w:rPr>
                <w:b w:val="false"/>
                <w:bCs w:val="false"/>
                <w:sz w:val="19"/>
                <w:szCs w:val="19"/>
              </w:rPr>
              <w:t xml:space="preserve">Criticité évaluée objectivement par l'IA à partir des faits décrits</w:t>
            </w:r>
          </w:p>
        </w:tc>
      </w:tr>
    </w:tbl>
    <w:p>
      <w:pPr>
        <w:pStyle w:val="Heading1"/>
      </w:pPr>
      <w:r>
        <w:t xml:space="preserve">7. Et pour votre métier ?</w:t>
      </w:r>
    </w:p>
    <w:p>
      <w:pPr>
        <w:spacing w:after="160" w:before="0"/>
      </w:pPr>
      <w:r>
        <w:rPr>
          <w:sz w:val="21"/>
          <w:szCs w:val="21"/>
        </w:rPr>
        <w:t xml:space="preserve">Le support informatique n'est qu'un exemple parmi les dix cas d'usage présentés dans ce webinaire. Le principe qui le sous-tend — laisser l'intelligence artificielle absorber les tâches répétitives de tri et de décision à faible risque, tout en gardant l'humain décisionnaire sur ce qui compte vraiment — s'applique à tout processus métier à fort volume : traitement de demandes clients, validation de dossiers, réponses aux questions récurrentes, suivi de conformité, et bien d'autres.</w:t>
      </w:r>
    </w:p>
    <w:p>
      <w:pPr>
        <w:spacing w:after="160" w:before="0"/>
      </w:pPr>
      <w:r>
        <w:rPr>
          <w:sz w:val="21"/>
          <w:szCs w:val="21"/>
        </w:rPr>
        <w:t xml:space="preserve">La question à se poser pour votre organisation n'est donc pas « avons-nous un service IT », mais : quel processus chez nous ressemble à celui-ci — un volume élevé de demandes similaires, un temps de traitement majoritairement passé à comprendre et classer plutôt qu'à résoudre ?</w:t>
      </w:r>
    </w:p>
    <w:p>
      <w:pPr>
        <w:pStyle w:val="Heading1"/>
      </w:pPr>
      <w:r>
        <w:t xml:space="preserve">8. Prochaine étape</w:t>
      </w:r>
    </w:p>
    <w:p>
      <w:pPr>
        <w:spacing w:after="160" w:before="0"/>
      </w:pPr>
      <w:r>
        <w:rPr>
          <w:sz w:val="21"/>
          <w:szCs w:val="21"/>
        </w:rPr>
        <w:t xml:space="preserve">TransferAI Africa propose un accompagnement pour identifier ce processus dans votre organisation et construire un premier pilote sur un périmètre restreint (50 à 200 cas par mois), avec mesure du gain réel avant toute extension — exactement la même démarche que celle appliquée pour construire ce cas d'usage.</w:t>
      </w:r>
    </w:p>
    <w:p>
      <w:pPr>
        <w:pStyle w:val="ListParagraph"/>
        <w:numPr>
          <w:ilvl w:val="0"/>
          <w:numId w:val="2"/>
        </w:numPr>
        <w:spacing w:after="100"/>
      </w:pPr>
      <w:r>
        <w:rPr>
          <w:sz w:val="21"/>
          <w:szCs w:val="21"/>
        </w:rPr>
        <w:t xml:space="preserve">Email : contact@transferai.ci</w:t>
      </w:r>
    </w:p>
    <w:p>
      <w:pPr>
        <w:pStyle w:val="ListParagraph"/>
        <w:numPr>
          <w:ilvl w:val="0"/>
          <w:numId w:val="2"/>
        </w:numPr>
        <w:spacing w:after="100"/>
      </w:pPr>
      <w:r>
        <w:rPr>
          <w:sz w:val="21"/>
          <w:szCs w:val="21"/>
        </w:rPr>
        <w:t xml:space="preserve">Site : www.transferai.ci</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A6472"/>
        <w:sz w:val="15"/>
        <w:szCs w:val="15"/>
      </w:rPr>
      <w:t xml:space="preserve">contact@transferai.ci · www.transferai.ci</w:t>
    </w:r>
    <w:r>
      <w:rPr>
        <w:color w:val="5A6472"/>
        <w:sz w:val="15"/>
        <w:szCs w:val="15"/>
      </w:rPr>
      <w:t xml:space="preserve">	Page </w:t>
    </w:r>
    <w:r>
      <w:rPr>
        <w:color w:val="5A6472"/>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E4" w:sz="4" w:space="4"/>
      </w:pBdr>
      <w:tabs>
        <w:tab w:val="right" w:pos="9026"/>
      </w:tabs>
    </w:pPr>
    <w:r>
      <w:rPr>
        <w:b/>
        <w:bCs/>
        <w:color w:val="10263F"/>
        <w:sz w:val="17"/>
        <w:szCs w:val="17"/>
      </w:rPr>
      <w:t xml:space="preserve">TransferAI Africa</w:t>
    </w:r>
    <w:r>
      <w:rPr>
        <w:color w:val="5A6472"/>
        <w:sz w:val="17"/>
        <w:szCs w:val="17"/>
      </w:rPr>
      <w:t xml:space="preserve">	Support IT Intelligent — Cas d'usage &amp; guide utilisateur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F2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80"/>
      <w:outlineLvl w:val="0"/>
    </w:pPr>
    <w:rPr>
      <w:rFonts w:ascii="Arial" w:cs="Arial" w:eastAsia="Arial" w:hAnsi="Arial"/>
      <w:b/>
      <w:bCs/>
      <w:color w:val="10263F"/>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0D7D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2026-07-08T19:21:06.072Z</dcterms:created>
  <dcterms:modified xsi:type="dcterms:W3CDTF">2026-07-08T19:21:06.077Z</dcterms:modified>
</cp:coreProperties>
</file>

<file path=docProps/custom.xml><?xml version="1.0" encoding="utf-8"?>
<Properties xmlns="http://schemas.openxmlformats.org/officeDocument/2006/custom-properties" xmlns:vt="http://schemas.openxmlformats.org/officeDocument/2006/docPropsVTypes"/>
</file>