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8920A"/>
          <w:sz w:val="18"/>
          <w:szCs w:val="18"/>
        </w:rPr>
        <w:t xml:space="preserve">TRANSFERAI AFRICA · DOCUMENT INTERNE</w:t>
      </w:r>
    </w:p>
    <w:p>
      <w:pPr>
        <w:spacing w:after="100"/>
      </w:pPr>
      <w:r>
        <w:rPr>
          <w:b/>
          <w:bCs/>
          <w:color w:val="10263F"/>
          <w:sz w:val="46"/>
          <w:szCs w:val="46"/>
        </w:rPr>
        <w:t xml:space="preserve">Support IT Intelligent</w:t>
      </w:r>
    </w:p>
    <w:p>
      <w:pPr>
        <w:spacing w:after="260"/>
      </w:pPr>
      <w:r>
        <w:rPr>
          <w:i/>
          <w:iCs/>
          <w:color w:val="5A6472"/>
          <w:sz w:val="22"/>
          <w:szCs w:val="22"/>
        </w:rPr>
        <w:t xml:space="preserve">Guide de troubleshooting — diagnostic rapide avant et pendant une démonstration live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USAGE</w:t>
            </w:r>
          </w:p>
          <w:p>
            <w:r>
              <w:rPr>
                <w:b/>
                <w:bCs/>
                <w:color w:val="10263F"/>
                <w:sz w:val="19"/>
                <w:szCs w:val="19"/>
              </w:rPr>
              <w:t xml:space="preserve">Préparation démo / support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AUDIENCE</w:t>
            </w:r>
          </w:p>
          <w:p>
            <w:r>
              <w:rPr>
                <w:b/>
                <w:bCs/>
                <w:color w:val="10263F"/>
                <w:sz w:val="19"/>
                <w:szCs w:val="19"/>
              </w:rPr>
              <w:t xml:space="preserve">Équipe technique interne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DERNIÈRE VALIDATION</w:t>
            </w:r>
          </w:p>
          <w:p>
            <w:r>
              <w:rPr>
                <w:b/>
                <w:bCs/>
                <w:color w:val="10263F"/>
                <w:sz w:val="19"/>
                <w:szCs w:val="19"/>
              </w:rPr>
              <w:t xml:space="preserve">08 juillet 2026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STATUT</w:t>
            </w:r>
          </w:p>
          <w:p>
            <w:r>
              <w:rPr>
                <w:b/>
                <w:bCs/>
                <w:color w:val="10263F"/>
                <w:sz w:val="19"/>
                <w:szCs w:val="19"/>
              </w:rPr>
              <w:t xml:space="preserve">Système en production</w:t>
            </w:r>
          </w:p>
        </w:tc>
      </w:tr>
    </w:tbl>
    <w:p>
      <w:pPr>
        <w:spacing w:after="0" w:before="300"/>
      </w:pPr>
    </w:p>
    <w:p>
      <w:pPr>
        <w:pBdr>
          <w:bottom w:val="single" w:color="10263F" w:sz="6" w:space="1"/>
        </w:pBdr>
        <w:spacing w:after="200" w:before="60"/>
      </w:pPr>
    </w:p>
    <w:p>
      <w:pPr>
        <w:pStyle w:val="Heading1"/>
      </w:pPr>
      <w:r>
        <w:t xml:space="preserve">1. Architecture en un coup d'œil</w:t>
      </w:r>
    </w:p>
    <w:p>
      <w:pPr>
        <w:spacing w:after="160" w:before="0"/>
      </w:pPr>
      <w:r>
        <w:rPr>
          <w:sz w:val="21"/>
          <w:szCs w:val="21"/>
        </w:rPr>
        <w:t xml:space="preserve">Le système repose sur 4 composants qui se relaient dans cet ordre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427"/>
        <w:gridCol w:w="3629"/>
      </w:tblGrid>
      <w:tr>
        <w:trPr>
          <w:tblHeader/>
        </w:trPr>
        <w:tc>
          <w:tcPr>
            <w:tcW w:type="dxa" w:w="302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62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Où le surveiller</w:t>
            </w:r>
          </w:p>
        </w:tc>
      </w:tr>
      <w:tr>
        <w:tc>
          <w:tcPr>
            <w:tcW w:type="dxa" w:w="302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Page web (/demo/support-it-intelligent)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Formulaire de saisie du ticket + affichage en direct du résultat</w:t>
            </w:r>
          </w:p>
        </w:tc>
        <w:tc>
          <w:tcPr>
            <w:tcW w:type="dxa" w:w="362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navigateur (F12) en cas d'erreur affichée à l'écran</w:t>
            </w:r>
          </w:p>
        </w:tc>
      </w:tr>
      <w:tr>
        <w:tc>
          <w:tcPr>
            <w:tcW w:type="dxa" w:w="302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Edge Function it-support-demo-ticket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Reçoit le ticket, l'enregistre, appelle n8n, renvoie le résultat</w:t>
            </w:r>
          </w:p>
        </w:tc>
        <w:tc>
          <w:tcPr>
            <w:tcW w:type="dxa" w:w="362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Dashboard → Edge Functions → it-support-demo-ticket → Logs</w:t>
            </w:r>
          </w:p>
        </w:tc>
      </w:tr>
      <w:tr>
        <w:tc>
          <w:tcPr>
            <w:tcW w:type="dxa" w:w="302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Workflow n8n (webhook ticket-it)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Classification IA (GPT-4o), décision, envoi des emails</w:t>
            </w:r>
          </w:p>
        </w:tc>
        <w:tc>
          <w:tcPr>
            <w:tcW w:type="dxa" w:w="362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n8n → Workflow → onglet Executions</w:t>
            </w:r>
          </w:p>
        </w:tc>
      </w:tr>
      <w:tr>
        <w:tc>
          <w:tcPr>
            <w:tcW w:type="dxa" w:w="302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Table Supabase it_support_demo_tickets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Historique des tickets et de leur statut final</w:t>
            </w:r>
          </w:p>
        </w:tc>
        <w:tc>
          <w:tcPr>
            <w:tcW w:type="dxa" w:w="362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Dashboard → Table Editor (pas via une requête avec la clé publique, voir §3.2)</w:t>
            </w:r>
          </w:p>
        </w:tc>
      </w:tr>
    </w:tbl>
    <w:p>
      <w:pPr>
        <w:pStyle w:val="Heading1"/>
      </w:pPr>
      <w:r>
        <w:t xml:space="preserve">2. Réflexe avant toute démo live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Soumettre un ticket de test avec une adresse email que vous consultez, 15 minutes avant le début.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Vérifier que l'email de résultat (résolution ou accusé d'escalade) est bien reçu.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Si un premier essai échoue juste après une modification récente (déploiement, mise à jour du workflow), réessayer une seconde fois avant de chercher plus loin — voir §3.6 (cold start).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Avoir cet onglet ouvert pendant la démo : Supabase → Edge Functions → it-support-demo-ticket → Logs, pour un diagnostic immédiat en cas d'imprévu devant le public.</w:t>
      </w:r>
    </w:p>
    <w:p>
      <w:r>
        <w:br w:type="page"/>
      </w:r>
    </w:p>
    <w:p>
      <w:pPr>
        <w:pStyle w:val="Heading1"/>
      </w:pPr>
      <w:r>
        <w:t xml:space="preserve">3. Problèmes fréquents et solutions</w:t>
      </w:r>
    </w:p>
    <w:p>
      <w:pPr>
        <w:pStyle w:val="Heading2"/>
      </w:pPr>
      <w:r>
        <w:t xml:space="preserve">3.1 — « Edge Function returned a non-2xx status code » affiché sur la page</w:t>
      </w:r>
    </w:p>
    <w:p>
      <w:pPr>
        <w:spacing w:after="160" w:before="0"/>
      </w:pPr>
      <w:r>
        <w:rPr>
          <w:sz w:val="21"/>
          <w:szCs w:val="21"/>
        </w:rPr>
        <w:t xml:space="preserve">Ce message est générique : le client Supabase ne montre jamais le détail réel de l'erreur à l'écran.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Cause possible la plus fréquente : premier appel juste après un déploiement (cold start du workflow n8n ou de la fonction) qui dépasse le délai avant réponse.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Action : consulter Supabase → Edge Functions → it-support-demo-ticket → Logs pour voir le vrai message d'erreur, ou relancer un test — si le second essai réussit, il s'agissait d'un cold start, pas d'un bug.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Si l'erreur persiste sur plusieurs essais : vérifier que le secret N8N_SUPPORT_IT_DEMO_WEBHOOK_URL est bien configuré (Project Settings → Edge Functions → Secrets) et que le workflow n8n est actif.</w:t>
      </w:r>
    </w:p>
    <w:p>
      <w:pPr>
        <w:pStyle w:val="Heading2"/>
      </w:pPr>
      <w:r>
        <w:t xml:space="preserve">3.2 — La table it_support_demo_tickets semble vide</w:t>
      </w:r>
    </w:p>
    <w:p>
      <w:pPr>
        <w:spacing w:after="160" w:before="0"/>
      </w:pPr>
      <w:r>
        <w:rPr>
          <w:sz w:val="21"/>
          <w:szCs w:val="21"/>
        </w:rPr>
        <w:t xml:space="preserve">Une requête sur cette table avec la clé publique (anon) renvoie systématiquement une liste vide, même quand des tickets existent réellement.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Cause : la table a la sécurité au niveau ligne (RLS) activée, avec un accès réservé au rôle service_role. La clé publique n'a aucune autorisation de lecture — ce n'est pas une erreur, c'est le comportement voulu (les données de tickets ne doivent pas être lisibles publiquement).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Action : toujours vérifier via Supabase Dashboard → Table Editor (accès propriétaire du projet), jamais via une requête avec la clé publique.</w:t>
      </w:r>
    </w:p>
    <w:p>
      <w:pPr>
        <w:pStyle w:val="Heading2"/>
      </w:pPr>
      <w:r>
        <w:t xml:space="preserve">3.3 — Le formulaire refuse de soumettre / erreur "champs requis"</w:t>
      </w:r>
    </w:p>
    <w:p>
      <w:pPr>
        <w:spacing w:after="160" w:before="0"/>
      </w:pPr>
      <w:r>
        <w:rPr>
          <w:sz w:val="21"/>
          <w:szCs w:val="21"/>
        </w:rPr>
        <w:t xml:space="preserve">Le workflow n8n envoie un email de résolution ou d'accusé de réception directement à l'adresse fournie. Sans nom complet ni email valide, l'étape d'envoi échoue et bloque toute l'exécution avant que la page ne reçoive une réponse.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Action : vérifier que le nom complet, l'email (format valide) et la description sont bien renseignés — ce sont les seuls champs strictement obligatoires.</w:t>
      </w:r>
    </w:p>
    <w:p>
      <w:pPr>
        <w:pStyle w:val="Heading2"/>
      </w:pPr>
      <w:r>
        <w:t xml:space="preserve">3.4 — Aucun email reçu malgré un résultat affiché à l'écran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Vérifier les courriers indésirables / spam.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Vérifier l'orthographe exacte de l'adresse saisie dans le formulaire.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Un email « Address not found » ou « 550 5.1.1 User does not exist » reçu en retour signifie que l'adresse saisie n'existe pas réellement — comportement normal du serveur mail, pas un dysfonctionnement du workflow (le système a bien tenté l'envoi).</w:t>
      </w:r>
    </w:p>
    <w:p>
      <w:pPr>
        <w:pStyle w:val="Heading2"/>
      </w:pPr>
      <w:r>
        <w:t xml:space="preserve">3.5 — Mise à jour du workflow n8n via l'API : erreur « must NOT have additional properties »</w:t>
      </w:r>
    </w:p>
    <w:p>
      <w:pPr>
        <w:spacing w:after="160" w:before="0"/>
      </w:pPr>
      <w:r>
        <w:rPr>
          <w:sz w:val="21"/>
          <w:szCs w:val="21"/>
        </w:rPr>
        <w:t xml:space="preserve">Se produit lors d'un appel direct à l'API n8n (PUT /api/v1/workflows/{id}) pour modifier le workflow en dehors de l'interface graphique.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Cause : l'API publique n8n applique une validation stricte sur le contenu de settings — certaines options visibles dans l'interface (binaryMode, availableInMCP) ne sont pas acceptées par l'API.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Action : dans le corps de la requête, ne conserver dans settings que la clé executionOrder.</w:t>
      </w:r>
    </w:p>
    <w:p>
      <w:pPr>
        <w:pStyle w:val="Heading2"/>
      </w:pPr>
      <w:r>
        <w:t xml:space="preserve">3.6 — Premier test après un déploiement échoue, les suivants réussissent</w:t>
      </w:r>
    </w:p>
    <w:p>
      <w:pPr>
        <w:spacing w:after="160" w:before="0"/>
      </w:pPr>
      <w:r>
        <w:rPr>
          <w:sz w:val="21"/>
          <w:szCs w:val="21"/>
        </w:rPr>
        <w:t xml:space="preserve">C'est un cold start classique : la toute première exécution après un déploiement (fonction ou workflow) est plus lente à s'initialiser. Ce n'est pas un bug — il suffit de relancer un test quelques secondes après.</w:t>
      </w:r>
    </w:p>
    <w:p>
      <w:pPr>
        <w:pStyle w:val="Heading2"/>
      </w:pPr>
      <w:r>
        <w:t xml:space="preserve">3.7 — Le workflow décide « escaladé » alors que la confiance affichée est élevée (par exemple 95 %)</w:t>
      </w:r>
    </w:p>
    <w:p>
      <w:pPr>
        <w:spacing w:after="160" w:before="0"/>
      </w:pPr>
      <w:r>
        <w:rPr>
          <w:sz w:val="21"/>
          <w:szCs w:val="21"/>
        </w:rPr>
        <w:t xml:space="preserve">Comportement volontaire, pas une anomalie : la décision d'auto-résolution dépend de deux critères combinés — le score de confiance ET le fait que l'IA juge le problème réellement auto-résolvable par un utilisateur non technicien. Une panne réseau bien diagnostiquée à 95 % de confiance reste escaladée, car elle nécessite de toute façon une intervention technique réelle.</w:t>
      </w:r>
    </w:p>
    <w:p>
      <w:pPr>
        <w:pStyle w:val="Heading1"/>
      </w:pPr>
      <w:r>
        <w:t xml:space="preserve">4. Où trouver le code et la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4234"/>
        <w:gridCol w:w="3427"/>
      </w:tblGrid>
      <w:tr>
        <w:trPr>
          <w:tblHeader/>
        </w:trP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Page web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src/pages/SupportITDemoPage.tsx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/demo/support-it-intelligent dans src/App.tsx</w:t>
            </w:r>
          </w:p>
        </w:tc>
      </w:tr>
      <w:t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supabase/functions/it-support-demo-ticket/index.ts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Déployée via le Dashboard (Via Editor), pas la CLI</w:t>
            </w:r>
          </w:p>
        </w:tc>
      </w:tr>
      <w:t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Migrations base de données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supabase/migrations/20260708120000_... et 20260708130000_...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it_support_demo_tickets</w:t>
            </w:r>
          </w:p>
        </w:tc>
      </w:tr>
      <w:t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Workflow n8n corrigé (référence)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docs/transferai-admin/150_n8n_Support_IT_Intelligent_REEL_Corrige_08juillet2026.json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 de référence du workflow déployé en production</w:t>
            </w:r>
          </w:p>
        </w:tc>
      </w:tr>
      <w:tr>
        <w:tc>
          <w:tcPr>
            <w:tcW w:type="dxa" w:w="2419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Guide de déploiement technique</w:t>
            </w:r>
          </w:p>
        </w:tc>
        <w:tc>
          <w:tcPr>
            <w:tcW w:type="dxa" w:w="4234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docs/transferai-admin/149_Guide_Utilisateur_Demo_Support_IT_Intelligent.md</w:t>
            </w:r>
          </w:p>
        </w:tc>
        <w:tc>
          <w:tcPr>
            <w:tcW w:type="dxa" w:w="3427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Étapes de mise en route détaillées</w:t>
            </w:r>
          </w:p>
        </w:tc>
      </w:tr>
    </w:tbl>
    <w:p>
      <w:pPr>
        <w:pStyle w:val="Heading1"/>
      </w:pPr>
      <w:r>
        <w:t xml:space="preserve">5. Contact</w:t>
      </w:r>
    </w:p>
    <w:p>
      <w:pPr>
        <w:spacing w:after="160" w:before="0"/>
      </w:pPr>
      <w:r>
        <w:rPr>
          <w:sz w:val="21"/>
          <w:szCs w:val="21"/>
        </w:rPr>
        <w:t xml:space="preserve">Pour toute question technique sur ce cas d'usage : contact@transferai.ci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472"/>
        <w:sz w:val="15"/>
        <w:szCs w:val="15"/>
      </w:rPr>
      <w:t xml:space="preserve">contact@transferai.ci · www.transferai.ci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4" w:sz="4" w:space="4"/>
      </w:pBdr>
      <w:tabs>
        <w:tab w:val="right" w:pos="9026"/>
      </w:tabs>
    </w:pPr>
    <w:r>
      <w:rPr>
        <w:b/>
        <w:bCs/>
        <w:color w:val="10263F"/>
        <w:sz w:val="17"/>
        <w:szCs w:val="17"/>
      </w:rPr>
      <w:t xml:space="preserve">TransferAI Africa</w:t>
    </w:r>
    <w:r>
      <w:rPr>
        <w:color w:val="5A6472"/>
        <w:sz w:val="17"/>
        <w:szCs w:val="17"/>
      </w:rPr>
      <w:t xml:space="preserve">	Support IT Intelligent — Guide de troubleshooting (interne)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8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D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2026-07-08T19:18:45.548Z</dcterms:created>
  <dcterms:modified xsi:type="dcterms:W3CDTF">2026-07-08T19:18:45.548Z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