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0263F"/>
          <w:sz w:val="20"/>
          <w:szCs w:val="20"/>
        </w:rPr>
        <w:t xml:space="preserve">TRANSFERAI AFRICA · DOCUMENT INTERNE</w:t>
      </w:r>
    </w:p>
    <w:p>
      <w:pPr>
        <w:spacing w:after="40"/>
        <w:jc w:val="center"/>
      </w:pPr>
      <w:r>
        <w:rPr>
          <w:b/>
          <w:bCs/>
          <w:color w:val="10263F"/>
          <w:sz w:val="34"/>
          <w:szCs w:val="34"/>
        </w:rPr>
        <w:t xml:space="preserve">GUIDE UTILISATEUR ET DE DÉPANNAGE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Workflow d'orchestration « Courrier confidentiel généré par IA » (Courrier_Automatique_v2_PII + PII_Guard_Anonymisation)</w:t>
      </w:r>
    </w:p>
    <w:p>
      <w:pPr>
        <w:pBdr>
          <w:bottom w:val="single" w:color="2E75B6" w:sz="6" w:space="1"/>
        </w:pBdr>
        <w:spacing w:after="20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DERNIÈRE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Webinaire &amp; formation, exploitation quotidienne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Secrétariat, managers, équipe technique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juillet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Testé bout-en-bout en production</w:t>
            </w:r>
          </w:p>
        </w:tc>
      </w:tr>
    </w:tbl>
    <w:p>
      <w:pPr>
        <w:spacing w:before="260"/>
      </w:pPr>
    </w:p>
    <w:p>
      <w:pPr>
        <w:pStyle w:val="Heading1"/>
      </w:pPr>
      <w:r>
        <w:t xml:space="preserve">1. Vue d'ensemble</w:t>
      </w:r>
    </w:p>
    <w:p>
      <w:pPr>
        <w:spacing w:after="140"/>
      </w:pPr>
      <w:r>
        <w:rPr>
          <w:sz w:val="21"/>
          <w:szCs w:val="21"/>
        </w:rPr>
        <w:t xml:space="preserve">Ce workflow permet à une secrétaire (diplomatie, banque, RH...) de faire rédiger un courrier professionnel par une intelligence artificielle générative (GPT-4o), sans jamais exposer les données personnelles sensibles du dossier à ce service externe. Un manager valide le fond avant tout envoi ; seule la secrétaire à l'origine de la demande peut ensuite déclencher l'envoi réel.</w:t>
      </w:r>
    </w:p>
    <w:p>
      <w:pPr>
        <w:spacing w:after="140"/>
      </w:pPr>
      <w:r>
        <w:rPr>
          <w:sz w:val="21"/>
          <w:szCs w:val="21"/>
        </w:rPr>
        <w:t xml:space="preserve">Deux workflows n8n travaillent ensemble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Courrier_Automatique_v2_PII — orchestre la demande, la génération IA, la validation manager, la correction éventuelle et l'envoi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PII_Guard_Anonymisation — sous-workflow réutilisable, appelé deux fois par le premier : une fois pour masquer les données sensibles avant l'IA, une fois pour les restaurer avant l'envoi.</w:t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pipeline" descr="Flux complet du workflow" title="Schéma du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Schéma de référence du pipeline complet</w:t>
      </w:r>
    </w:p>
    <w:p>
      <w:r>
        <w:br w:type="page"/>
      </w:r>
    </w:p>
    <w:p>
      <w:pPr>
        <w:pStyle w:val="Heading1"/>
      </w:pPr>
      <w:r>
        <w:t xml:space="preserve">2. Qu'est-ce que PII Guard ?</w:t>
      </w:r>
    </w:p>
    <w:p>
      <w:pPr>
        <w:spacing w:after="140"/>
      </w:pPr>
      <w:r>
        <w:rPr>
          <w:sz w:val="21"/>
          <w:szCs w:val="21"/>
        </w:rPr>
        <w:t xml:space="preserve">PII_Guard_Anonymisation est un sous-workflow n8n réutilisable qui protège les données personnelles sensibles (PII) pour qu'elles n'atteignent jamais un service IA externe comme GPT-4o d'OpenAI.</w:t>
      </w:r>
    </w:p>
    <w:p>
      <w:pPr>
        <w:pStyle w:val="Heading2"/>
      </w:pPr>
      <w:r>
        <w:t xml:space="preserve">Son fonctionnement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Il tourne selon deux modes, choisis via un paramètre mode : anonymize ou deanonymize.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 mode anonymize, un nœud de code analyse le texte avec des expressions régulières pour repérer les types de PII courants — noms, IBAN, numéros de téléphone, emails, numéros de passeport/CNI, montants, adresses, références diplomatiques — et remplace chaque occurrence par un jeton neutre du type [PERSONNE_1], [IBAN_1], [MONTANT_1]. Il conserve un mapping privé jeton → valeur réelle, gardé uniquement en mémoire le temps de cette exécution (rien n'est stocké en base).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C'est ce texte tokenisé qui part réellement vers GPT-4o. Le modèle ne voit jamais le vrai nom, le vrai numéro de compte ou le vrai montant — il apprend juste à rédiger autour des jetons et à les recopier tels quels.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Ensuite, en mode deanonymize, le même sous-workflow est rappelé avec le mapping, et il restaure les vraies valeurs à la place des jetons — mais uniquement pour des humains autorisés (un manager qui relit le courrier, le client qui le reçoit), jamais pour l'IA.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C'est la brique centrale du cas d'usage « Courrier confidentiel » : une secrétaire demande un courrier avec de vraies données sensibles, PII Guard les masque avant que GPT-4o ne rédige le brouillon, un manager relit et valide la version réelle (restaurée), et c'est seulement à ce moment-là que le courrier part — l'IA elle-même ne touche jamais aux données sensibles, à aucun moment.</w:t>
      </w:r>
    </w:p>
    <w:p>
      <w:pPr>
        <w:pStyle w:val="Heading1"/>
      </w:pPr>
      <w:r>
        <w:t xml:space="preserve">3. Explication nœud par nœud — PII_Guard_Anonymisation</w:t>
      </w:r>
    </w:p>
    <w:p>
      <w:pPr>
        <w:spacing w:after="140"/>
      </w:pPr>
      <w:r>
        <w:rPr>
          <w:sz w:val="21"/>
          <w:szCs w:val="21"/>
        </w:rPr>
        <w:t xml:space="preserve">Ce sous-workflow ne comporte que 4 nœuds, appelé par le workflow principal via un nœud Execute Workflow.</w:t>
      </w:r>
    </w:p>
    <w:p>
      <w:pPr>
        <w:spacing w:after="100" w:before="200"/>
      </w:pPr>
      <w:r>
        <w:rPr>
          <w:b/>
          <w:bCs/>
          <w:color w:val="10263F"/>
          <w:sz w:val="22"/>
          <w:szCs w:val="22"/>
        </w:rPr>
        <w:t xml:space="preserve">Nœud 1 — Entrée — Texte à traiter</w:t>
      </w:r>
    </w:p>
    <w:p>
      <w:pPr>
        <w:spacing w:after="140"/>
      </w:pPr>
      <w:r>
        <w:rPr>
          <w:sz w:val="21"/>
          <w:szCs w:val="21"/>
        </w:rPr>
        <w:t xml:space="preserve">Type n8n : n8n-nodes-base.executeWorkflowTrigger (mode passthrough). Point d'entrée du sous-workflow : reçoit tel quel l'objet envoyé par le nœud appelant (mode, texte, mapping_pii selon le cas, et tous les champs du courrier).</w:t>
      </w:r>
    </w:p>
    <w:p>
      <w:pPr>
        <w:spacing w:after="100" w:before="200"/>
      </w:pPr>
      <w:r>
        <w:rPr>
          <w:b/>
          <w:bCs/>
          <w:color w:val="10263F"/>
          <w:sz w:val="22"/>
          <w:szCs w:val="22"/>
        </w:rPr>
        <w:t xml:space="preserve">Nœud 2 — Router — Mode</w:t>
      </w:r>
    </w:p>
    <w:p>
      <w:pPr>
        <w:spacing w:after="140"/>
      </w:pPr>
      <w:r>
        <w:rPr>
          <w:sz w:val="21"/>
          <w:szCs w:val="21"/>
        </w:rPr>
        <w:t xml:space="preserve">Type n8n : n8n-nodes-base.switch (2 règles explicites depuis la correction du 09/07/2026 — voir section Dépannage §9.3). Teste la valeur du champ mode : si « anonymize », route vers le nœud « Détecter &amp; Anonymiser PII » (sortie 0) ; si « deanonymize », route vers « Restaurer valeurs réelles » (sortie 1).</w:t>
      </w:r>
    </w:p>
    <w:p>
      <w:pPr>
        <w:spacing w:after="100" w:before="200"/>
      </w:pPr>
      <w:r>
        <w:rPr>
          <w:b/>
          <w:bCs/>
          <w:color w:val="10263F"/>
          <w:sz w:val="22"/>
          <w:szCs w:val="22"/>
        </w:rPr>
        <w:t xml:space="preserve">Nœud 3 — Détecter &amp; Anonymiser PII</w:t>
      </w:r>
    </w:p>
    <w:p>
      <w:pPr>
        <w:spacing w:after="140"/>
      </w:pPr>
      <w:r>
        <w:rPr>
          <w:sz w:val="21"/>
          <w:szCs w:val="21"/>
        </w:rPr>
        <w:t xml:space="preserve">Type n8n : n8n-nodes-base.code. Analyse les champs texte libre (instructions, objet, texte) avec une série de regex ordonnées (IBAN, EMAIL, CARTE_BANCAIRE, PASSEPORT, CNI, REF_DIPLOMATIQUE, MONTANT, TELEPHONE, ADRESSE, PERSONNE), remplace chaque occurrence par un jeton [TYPE_n] et construit le mapping token → valeur réelle. Détection 100% locale, aucun appel externe.</w:t>
      </w:r>
    </w:p>
    <w:p>
      <w:pPr>
        <w:spacing w:after="100" w:before="200"/>
      </w:pPr>
      <w:r>
        <w:rPr>
          <w:b/>
          <w:bCs/>
          <w:color w:val="10263F"/>
          <w:sz w:val="22"/>
          <w:szCs w:val="22"/>
        </w:rPr>
        <w:t xml:space="preserve">Nœud 4 — Restaurer valeurs réelles</w:t>
      </w:r>
    </w:p>
    <w:p>
      <w:pPr>
        <w:spacing w:after="140"/>
      </w:pPr>
      <w:r>
        <w:rPr>
          <w:sz w:val="21"/>
          <w:szCs w:val="21"/>
        </w:rPr>
        <w:t xml:space="preserve">Type n8n : n8n-nodes-base.code. Reçoit le texte tokenisé et le mapping_pii, remplace chaque jeton par sa valeur réelle correspondante, produit le champ texte_final utilisé par la suite du workflow principal.</w:t>
      </w:r>
    </w:p>
    <w:p>
      <w:r>
        <w:br w:type="page"/>
      </w:r>
    </w:p>
    <w:p>
      <w:pPr>
        <w:pStyle w:val="Heading1"/>
      </w:pPr>
      <w:r>
        <w:t xml:space="preserve">4. Explication nœud par nœud — Courrier_Automatique_v2_PII</w:t>
      </w:r>
    </w:p>
    <w:p>
      <w:pPr>
        <w:spacing w:after="140"/>
      </w:pPr>
      <w:r>
        <w:rPr>
          <w:sz w:val="21"/>
          <w:szCs w:val="21"/>
        </w:rPr>
        <w:t xml:space="preserve">Le workflow comporte 4 points d'entrée (webhooks) correspondant aux 4 étapes du cycle de vie d'un courrier. Les nœuds sont regroupés ci-dessous par flux.</w:t>
      </w:r>
    </w:p>
    <w:p>
      <w:pPr>
        <w:pStyle w:val="Heading2"/>
      </w:pPr>
      <w:r>
        <w:t xml:space="preserve">4.1 — Flux A : demande initiale et génération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Nœud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Trigger — Demande courrier (co-001)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(POST)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Point d'entrée courrier-automatique-v2 : reçoit la demande de la secrétaire (destinataire, objet, instructions, expéditeur, organisation, emails de validation/secrétaire).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Extraire demande (co-002)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Normalise le corps de la requête, génère un identifiant unique courrier_id (CRR-timestamp), applique les valeurs par défaut.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Anonymiser PII (co-012)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 Workflow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Appelle PII_Guard_Anonymisation en mode anonymize sur les champs instructions/objet.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Construire prompt 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Assemble le prompt envoyé à l'IA à partir du texte anonymisé.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Générer courrier GPT-4o (co-003)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Appel à l'API OpenAI (chat/completions, modèle gpt-4o) — credential dédiée OpenAI-Courrier PII.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Dé-anonymiser (co-014)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 Workflow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Appelle PII_Guard_Anonymisation en mode deanonymize — restaure les vraies valeurs pour la relecture manager.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Préparer courrier HTML (co-004)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Construit le HTML du courrier final et les liens Approuver/Rejeter encodés en base64url.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Email validation manager (co-005)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Envoi Resend à l'adresse email_validation — credential Resend — Formation Emails.</w:t>
            </w:r>
          </w:p>
        </w:tc>
      </w:tr>
    </w:tbl>
    <w:p>
      <w:pPr>
        <w:pStyle w:val="Heading2"/>
      </w:pPr>
      <w:r>
        <w:t xml:space="preserve">4.2 — Flux B : décision du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Nœud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Webhook — Décision manager (co-007)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(GET)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Point d'entrée courrier-approve-v2, déclenché par le clic sur le lien Approuver ou Rejeter reçu par email.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Décoder contexte (co-016)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Décode le paramètre data (base64url) pour retrouver tout le contexte du courrier.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Vérifier décision (co-008)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Branche vers l'envoi (Approuver) ou vers la demande de correction (Rejeter).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Construire courrier prêt-à-envoyer (co-017)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Prépare l'email de notification à la secrétaire avec le lien d'envoi final.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Notifier secrétaire — Prêt à envoyer (co-018)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Envoi Resend à la secrétaire (email_secretaire).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Construire email correction (co-019)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Prépare l'email de notification en cas de rejet.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Notifier secrétaire — Correction requise (co-020)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Envoi Resend informant la secrétaire du rejet et du motif.</w:t>
            </w:r>
          </w:p>
        </w:tc>
      </w:tr>
    </w:tbl>
    <w:p>
      <w:pPr>
        <w:pStyle w:val="Heading2"/>
      </w:pPr>
      <w:r>
        <w:t xml:space="preserve">4.3 — Flux C : correction (en cas de rejet)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Nœud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Webhook — Correction courrier (co-021)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(POST)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Point d'entrée courrier-corriger-v2 : la secrétaire soumet une version corrigée.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Extraire correction (co-022)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Incrémente le champ version et réinjecte le courrier corrigé dans le cycle (retour au Flux A).</w:t>
            </w:r>
          </w:p>
        </w:tc>
      </w:tr>
    </w:tbl>
    <w:p>
      <w:pPr>
        <w:pStyle w:val="Heading2"/>
      </w:pPr>
      <w:r>
        <w:t xml:space="preserve">4.4 — Flux D : envoi final par la secrétaire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Nœud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Webhook — Envoi final secrétaire (co-023)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Webhook (GET)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Point d'entrée courrier-envoyer-v2, déclenché par le clic de la secrétaire sur le lien reçu.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Préparer envoi client (co-024)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Construit l'email final à destination du vrai destinataire (destinataire_email).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Envoyer courrier final (co-009)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Envoi Resend au destinataire réel du courrier.</w:t>
            </w:r>
          </w:p>
        </w:tc>
      </w:tr>
    </w:tbl>
    <w:p>
      <w:pPr>
        <w:pStyle w:val="Heading2"/>
      </w:pPr>
      <w:r>
        <w:t xml:space="preserve">4.5 — Chemin alternatif (désactivé)</w:t>
      </w:r>
    </w:p>
    <w:p>
      <w:pPr>
        <w:pBdr>
          <w:left w:val="single" w:color="B33A3A" w:sz="18" w:space="4"/>
        </w:pBdr>
        <w:shd w:fill="FDEDED" w:val="clear"/>
        <w:spacing w:after="200" w:before="100"/>
      </w:pPr>
      <w:r>
        <w:rPr>
          <w:color w:val="8C2E2E"/>
          <w:sz w:val="21"/>
          <w:szCs w:val="21"/>
        </w:rPr>
        <w:t xml:space="preserve">⚠ Les nœuds Schedule — Vérifier boîte courrier et Lire emails non lus — Boîte courrier permettent normalement à une secrétaire d'envoyer sa demande par email plutôt que par formulaire. Ils sont désactivés depuis le 09/07/2026 car la credential IMAP associée n'est pas configurée (placeholder A_CONFIGURER) — voir Dépannage §8.5.</w:t>
      </w:r>
    </w:p>
    <w:p>
      <w:r>
        <w:br w:type="page"/>
      </w:r>
    </w:p>
    <w:p>
      <w:pPr>
        <w:pStyle w:val="Heading1"/>
      </w:pPr>
      <w:r>
        <w:t xml:space="preserve">5. Cas d'usage 1 — Finance / Banque</w:t>
      </w:r>
    </w:p>
    <w:p>
      <w:pPr>
        <w:spacing w:after="140"/>
      </w:pPr>
      <w:r>
        <w:rPr>
          <w:sz w:val="21"/>
          <w:szCs w:val="21"/>
        </w:rPr>
        <w:t xml:space="preserve">Un client bancaire attend la confirmation d'un virement reçu. La secrétaire du service client saisit la demande avec les vraies coordonnées du client.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Mme Adjoua Kouassi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destinataire_email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a.kouassi@client-banque-test.example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objet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 de réception de virement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expediteur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Relation Client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Banque Test 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Texte original (saisi par la secrétaire)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Merci d'informer Mme Adjoua Kouassi que le virement de 2 500 000 FCFA vers son IBAN CI93CI0080123456789012345 a bien été reçu. Son passeport n° 12AB34567 reste en cours de vérification. Adresse : Cocody 2 Plateaux, Abidjan. La joindre au 07 12 34 56 78.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Texte envoyé à GPT-4o (anonymisé par PII Guard)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Merci d'informer [PERSONNE_1] que le virement de [MONTANT_1] vers son IBAN [IBAN_1] a bien été reçu. Son [PASSEPORT_1] reste en cours de vérification. [ADRESSE_1], Abidjan. La joindre au [TELEPHONE_1].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Mapping restauré à l'envoi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[PERSONNE_1] = Mme Adjoua Kouassi  |  [MONTANT_1] = 2 500 000 FCFA  |  [IBAN_1] = CI93CI0080123456789012345  |  [PASSEPORT_1] = passeport n° 12AB34567  |  [ADRESSE_1] = Adresse : Cocody 2 Plateaux  |  [TELEPHONE_1] = 07 12 34 56 78</w:t>
            </w:r>
          </w:p>
        </w:tc>
      </w:tr>
    </w:tbl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Résultat vérifié en production : anonymisation correcte, génération GPT-4o réussie, email manager envoyé avec le texte réel restauré (plus aucun jeton visible), email final envoyé au client après validation.</w:t>
      </w:r>
    </w:p>
    <w:p>
      <w:r>
        <w:br w:type="page"/>
      </w:r>
    </w:p>
    <w:p>
      <w:pPr>
        <w:pStyle w:val="Heading1"/>
      </w:pPr>
      <w:r>
        <w:t xml:space="preserve">6. Cas d'usage 2 — Diplomatie</w:t>
      </w:r>
    </w:p>
    <w:p>
      <w:pPr>
        <w:spacing w:after="140"/>
      </w:pPr>
      <w:r>
        <w:rPr>
          <w:sz w:val="21"/>
          <w:szCs w:val="21"/>
        </w:rPr>
        <w:t xml:space="preserve">Une ambassade attend la confirmation d'une demande d'accréditation. La secrétaire du cabinet saisit la demande avec les vraies coordonnées du dossier diplomatique.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Ambassade du Royaume du Maroc à Abidjan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destinataire_email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protocole@ambassade-maroc-ci.example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objet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 de rendez-vous et accréditation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expediteur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Cabinet du Secrétaire Général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Ministère des Affaires Étrangères de Côte d'Ivoire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Texte original (saisi par la secrétaire)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Merci de rédiger un courrier confirmant à M. Abdellah Benkirane que sa demande a été validée, référence diplomatique : DIP-2026-04471. Il est domicilié à la Résidence de l'Ambassade, Riviera Golf, Abidjan. Le joindre au +225 07 45 12 33 89 ou par email a.benkirane@diplomatie-test.example.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Texte envoyé à GPT-4o (anonymisé par PII Guard)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Merci de rédiger un courrier confirmant à [PERSONNE_1] que sa demande a été validée, [REF_DIPLOMATIQUE_1]. Il est [ADRESSE_1], Riviera Golf, Abidjan. Le joindre au [TELEPHONE_1] ou par email [EMAIL_1].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Mapping restauré à l'envoi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[PERSONNE_1] = M. Abdellah Benkirane  |  [REF_DIPLOMATIQUE_1] = référence diplomatique : DIP-2026-04471  |  [ADRESSE_1] = domicilié à la Résidence de l'Ambassade  |  [TELEPHONE_1] = +225 07 45 12 33 89  |  [EMAIL_1] = a.benkirane@diplomatie-test.example</w:t>
            </w:r>
          </w:p>
        </w:tc>
      </w:tr>
    </w:tbl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Ce scénario est celui utilisé pour la démonstration live publique : https://www.transferai.ci/demo/courrier-automatique-pii (thème violet dédié « Scénario 1 — Diplomatie »).</w:t>
      </w:r>
    </w:p>
    <w:p>
      <w:r>
        <w:br w:type="page"/>
      </w:r>
    </w:p>
    <w:p>
      <w:pPr>
        <w:pStyle w:val="Heading1"/>
      </w:pPr>
      <w:r>
        <w:t xml:space="preserve">7. Guide utilisateur — utilisation au quotidien</w:t>
      </w:r>
    </w:p>
    <w:p>
      <w:pPr>
        <w:pStyle w:val="Heading2"/>
      </w:pPr>
      <w:r>
        <w:t xml:space="preserve">7.1 — La secrétaire : soumettre une demande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Envoyer un POST sur le webhook courrier-automatique-v2 (ou passer par un formulaire connecté à ce webhook) avec : destinataire, destinataire_email, objet, instructions, expediteur, organisation, email_validation (adresse du manager), email_secretaire (sa propre adresse).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Un accusé de réception confirme que la demande est bien en cours de traitement (statut « en_attente_validation_manager »).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Rien d'autre à faire — le manager reçoit automatiquement l'email de validation.</w:t>
      </w:r>
    </w:p>
    <w:p>
      <w:pPr>
        <w:pStyle w:val="Heading2"/>
      </w:pPr>
      <w:r>
        <w:t xml:space="preserve">7.2 — Le manager : valider ou rejeter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Recevoir l'email de validation contenant le courrier complet, avec les vraies données restaurées.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Cliquer Approuver si le contenu est correct, ou Rejeter avec un motif si une correction est nécessaire.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En cas d'approbation, la secrétaire est automatiquement notifiée qu'elle peut procéder à l'envoi.</w:t>
      </w:r>
    </w:p>
    <w:p>
      <w:pPr>
        <w:pStyle w:val="Heading2"/>
      </w:pPr>
      <w:r>
        <w:t xml:space="preserve">7.3 — La secrétaire : envoi final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Recevoir l'email « Prêt à envoyer ».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Cliquer sur le lien d'envoi final — c'est la secrétaire, jamais le manager, qui déclenche l'envoi réel au destinataire.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En cas de rejet précédent, corriger le courrier via le webhook courrier-corriger-v2 : le cycle repart de l'anonymisation.</w:t>
      </w:r>
    </w:p>
    <w:p>
      <w:pPr>
        <w:pBdr>
          <w:left w:val="single" w:color="B33A3A" w:sz="18" w:space="4"/>
        </w:pBdr>
        <w:shd w:fill="FDEDED" w:val="clear"/>
        <w:spacing w:after="200" w:before="100"/>
      </w:pPr>
      <w:r>
        <w:rPr>
          <w:color w:val="8C2E2E"/>
          <w:sz w:val="21"/>
          <w:szCs w:val="21"/>
        </w:rPr>
        <w:t xml:space="preserve">⚠ Séparation stricte des rôles : le manager valide le fond et la signature, il n'envoie jamais lui-même. Seule la secrétaire à l'origine de la demande est habilitée à déclencher l'envoi réel — cette règle protège contre un envoi accidentel ou non autorisé.</w:t>
      </w:r>
    </w:p>
    <w:p>
      <w:r>
        <w:br w:type="page"/>
      </w:r>
    </w:p>
    <w:p>
      <w:pPr>
        <w:pStyle w:val="Heading1"/>
      </w:pPr>
      <w:r>
        <w:t xml:space="preserve">8. Guide de dépannage</w:t>
      </w:r>
    </w:p>
    <w:p>
      <w:pPr>
        <w:spacing w:after="140"/>
      </w:pPr>
      <w:r>
        <w:rPr>
          <w:sz w:val="21"/>
          <w:szCs w:val="21"/>
        </w:rPr>
        <w:t xml:space="preserve">Problèmes réellement rencontrés et corrigés lors de la mise en production de ce workflow (09-10 juillet 2026), avec la cause exacte et la solution appliquée.</w:t>
      </w:r>
    </w:p>
    <w:p>
      <w:pPr>
        <w:spacing w:after="100" w:before="200"/>
      </w:pPr>
      <w:r>
        <w:rPr>
          <w:b/>
          <w:bCs/>
          <w:color w:val="10263F"/>
          <w:sz w:val="22"/>
          <w:szCs w:val="22"/>
        </w:rPr>
        <w:t xml:space="preserve">8.1 — Le workflow refuse de s'activer</w:t>
      </w:r>
    </w:p>
    <w:p>
      <w:pPr>
        <w:spacing w:after="140"/>
      </w:pPr>
      <w:r>
        <w:rPr>
          <w:sz w:val="21"/>
          <w:szCs w:val="21"/>
        </w:rPr>
        <w:t xml:space="preserve">Symptôme : message d'erreur du type « Credential with ID ... does not exist for type ... » lors du clic sur Activer.</w:t>
      </w:r>
    </w:p>
    <w:p>
      <w:pPr>
        <w:spacing w:after="140"/>
      </w:pPr>
      <w:r>
        <w:rPr>
          <w:sz w:val="21"/>
          <w:szCs w:val="21"/>
        </w:rPr>
        <w:t xml:space="preserve">Cause : un nœud du workflow référence une credential qui n'existe pas ou n'est pas configurée (souvent le nœud IMAP de lecture d'emails).</w:t>
      </w:r>
    </w:p>
    <w:p>
      <w:pPr>
        <w:spacing w:after="140"/>
      </w:pPr>
      <w:r>
        <w:rPr>
          <w:sz w:val="21"/>
          <w:szCs w:val="21"/>
        </w:rPr>
        <w:t xml:space="preserve">Solution : désactiver le nœud fautif (clic droit → Deactivate) le temps de configurer une vraie credential, ou configurer immédiatement la credential manquante dans Settings → Credentials.</w:t>
      </w:r>
    </w:p>
    <w:p>
      <w:pPr>
        <w:spacing w:after="100" w:before="200"/>
      </w:pPr>
      <w:r>
        <w:rPr>
          <w:b/>
          <w:bCs/>
          <w:color w:val="10263F"/>
          <w:sz w:val="22"/>
          <w:szCs w:val="22"/>
        </w:rPr>
        <w:t xml:space="preserve">8.2 — L'email manager affiche « undefined » à la place du courrier</w:t>
      </w:r>
    </w:p>
    <w:p>
      <w:pPr>
        <w:spacing w:after="140"/>
      </w:pPr>
      <w:r>
        <w:rPr>
          <w:sz w:val="21"/>
          <w:szCs w:val="21"/>
        </w:rPr>
        <w:t xml:space="preserve">Symptôme : l'email de validation reçu par le manager contient littéralement le mot « undefined » dans le corps du message.</w:t>
      </w:r>
    </w:p>
    <w:p>
      <w:pPr>
        <w:spacing w:after="140"/>
      </w:pPr>
      <w:r>
        <w:rPr>
          <w:sz w:val="21"/>
          <w:szCs w:val="21"/>
        </w:rPr>
        <w:t xml:space="preserve">Cause identifiée : le nœud Router — Mode (à l'époque un nœud IF) ne routait pas correctement selon la valeur du champ mode — il prenait systématiquement la branche anonymize, y compris lors du second appel en mode deanonymize. Le champ texte_final n'était donc jamais produit.</w:t>
      </w:r>
    </w:p>
    <w:p>
      <w:pPr>
        <w:spacing w:after="140"/>
      </w:pPr>
      <w:r>
        <w:rPr>
          <w:sz w:val="21"/>
          <w:szCs w:val="21"/>
        </w:rPr>
        <w:t xml:space="preserve">Solution appliquée : remplacement du nœud IF par un nœud Switch avec deux règles explicites (mode === "anonymize" / mode === "deanonymize"), plus fiable que la logique vrai/faux d'une condition unique.</w:t>
      </w:r>
    </w:p>
    <w:p>
      <w:pPr>
        <w:spacing w:after="100" w:before="200"/>
      </w:pPr>
      <w:r>
        <w:rPr>
          <w:b/>
          <w:bCs/>
          <w:color w:val="10263F"/>
          <w:sz w:val="22"/>
          <w:szCs w:val="22"/>
        </w:rPr>
        <w:t xml:space="preserve">8.3 — Les emails ne partent pas (erreur d'authentification silencieuse)</w:t>
      </w:r>
    </w:p>
    <w:p>
      <w:pPr>
        <w:spacing w:after="140"/>
      </w:pPr>
      <w:r>
        <w:rPr>
          <w:sz w:val="21"/>
          <w:szCs w:val="21"/>
        </w:rPr>
        <w:t xml:space="preserve">Symptôme : le workflow s'exécute sans erreur visible mais aucun email n'est reçu, ou les logs Resend/OpenAI indiquent une erreur 401.</w:t>
      </w:r>
    </w:p>
    <w:p>
      <w:pPr>
        <w:spacing w:after="140"/>
      </w:pPr>
      <w:r>
        <w:rPr>
          <w:sz w:val="21"/>
          <w:szCs w:val="21"/>
        </w:rPr>
        <w:t xml:space="preserve">Cause fréquente : une même credential générique (« Header Auth ») utilisée à la fois pour l'appel OpenAI et pour les appels Resend — les deux services attendent un format de clé différent dans l'en-tête Authorization.</w:t>
      </w:r>
    </w:p>
    <w:p>
      <w:pPr>
        <w:spacing w:after="140"/>
      </w:pPr>
      <w:r>
        <w:rPr>
          <w:sz w:val="21"/>
          <w:szCs w:val="21"/>
        </w:rPr>
        <w:t xml:space="preserve">Solution : créer une credential Header Auth dédiée par service (une pour OpenAI, une pour Resend) et vérifier, nœud par nœud, laquelle est assignée à chaque appel HTTP Request.</w:t>
      </w:r>
    </w:p>
    <w:p>
      <w:pPr>
        <w:spacing w:after="100" w:before="200"/>
      </w:pPr>
      <w:r>
        <w:rPr>
          <w:b/>
          <w:bCs/>
          <w:color w:val="10263F"/>
          <w:sz w:val="22"/>
          <w:szCs w:val="22"/>
        </w:rPr>
        <w:t xml:space="preserve">8.4 — Les liens Approuver / Rejeter / Envoyer ne fonctionnent pas</w:t>
      </w:r>
    </w:p>
    <w:p>
      <w:pPr>
        <w:spacing w:after="140"/>
      </w:pPr>
      <w:r>
        <w:rPr>
          <w:sz w:val="21"/>
          <w:szCs w:val="21"/>
        </w:rPr>
        <w:t xml:space="preserve">Symptôme : le lien cliqué dans l'email renvoie une erreur ou ne mène nulle part.</w:t>
      </w:r>
    </w:p>
    <w:p>
      <w:pPr>
        <w:spacing w:after="140"/>
      </w:pPr>
      <w:r>
        <w:rPr>
          <w:sz w:val="21"/>
          <w:szCs w:val="21"/>
        </w:rPr>
        <w:t xml:space="preserve">Cause : le placeholder [VPS_DOMAIN] n'a pas été remplacé par le vrai domaine de l'instance n8n dans le code des nœuds qui construisent ces liens (Préparer courrier HTML, Construire courrier prêt-à-envoyer).</w:t>
      </w:r>
    </w:p>
    <w:p>
      <w:pPr>
        <w:spacing w:after="140"/>
      </w:pPr>
      <w:r>
        <w:rPr>
          <w:sz w:val="21"/>
          <w:szCs w:val="21"/>
        </w:rPr>
        <w:t xml:space="preserve">Solution : rechercher [VPS_DOMAIN] dans le code des nœuds concernés et le remplacer par le domaine réel (ex. n8n-pxlk.srv1480638.hstgr.cloud).</w:t>
      </w:r>
    </w:p>
    <w:p>
      <w:pPr>
        <w:spacing w:after="100" w:before="200"/>
      </w:pPr>
      <w:r>
        <w:rPr>
          <w:b/>
          <w:bCs/>
          <w:color w:val="10263F"/>
          <w:sz w:val="22"/>
          <w:szCs w:val="22"/>
        </w:rPr>
        <w:t xml:space="preserve">8.5 — Le chemin "demande par email" ne fonctionne pas</w:t>
      </w:r>
    </w:p>
    <w:p>
      <w:pPr>
        <w:spacing w:after="140"/>
      </w:pPr>
      <w:r>
        <w:rPr>
          <w:sz w:val="21"/>
          <w:szCs w:val="21"/>
        </w:rPr>
        <w:t xml:space="preserve">Symptôme : le nœud Lire emails non lus échoue à chaque exécution du Schedule Trigger associé.</w:t>
      </w:r>
    </w:p>
    <w:p>
      <w:pPr>
        <w:spacing w:after="140"/>
      </w:pPr>
      <w:r>
        <w:rPr>
          <w:sz w:val="21"/>
          <w:szCs w:val="21"/>
        </w:rPr>
        <w:t xml:space="preserve">Cause : la credential IMAP de ce nœud est un placeholder non configuré (A_CONFIGURER).</w:t>
      </w:r>
    </w:p>
    <w:p>
      <w:pPr>
        <w:spacing w:after="140"/>
      </w:pPr>
      <w:r>
        <w:rPr>
          <w:sz w:val="21"/>
          <w:szCs w:val="21"/>
        </w:rPr>
        <w:t xml:space="preserve">Solution : soit configurer une vraie credential IMAP pour la boîte courrier dédiée, soit laisser ce chemin désactivé (n'affecte pas le chemin webhook principal utilisé pour la démo et l'usage courant).</w:t>
      </w:r>
    </w:p>
    <w:p>
      <w:pPr>
        <w:spacing w:after="100" w:before="200"/>
      </w:pPr>
      <w:r>
        <w:rPr>
          <w:b/>
          <w:bCs/>
          <w:color w:val="10263F"/>
          <w:sz w:val="22"/>
          <w:szCs w:val="22"/>
        </w:rPr>
        <w:t xml:space="preserve">8.6 — Vérifier qu'un test a bien fonctionné</w:t>
      </w:r>
    </w:p>
    <w:p>
      <w:pPr>
        <w:spacing w:after="140"/>
      </w:pPr>
      <w:r>
        <w:rPr>
          <w:sz w:val="21"/>
          <w:szCs w:val="21"/>
        </w:rPr>
        <w:t xml:space="preserve">Toujours vérifier trois choses après un test : (1) dans n8n, l'onglet Executions du workflow montre bien un statut success ; (2) le nœud Détecter &amp; Anonymiser PII montre des jetons [TYPE_n] et non le texte réel ; (3) l'email de validation manager contient bien le texte réel restauré, sans mot « undefined » ni jeton résiduel.</w:t>
      </w:r>
    </w:p>
    <w:p>
      <w:r>
        <w:br w:type="page"/>
      </w:r>
    </w:p>
    <w:p>
      <w:pPr>
        <w:pStyle w:val="Heading1"/>
      </w:pPr>
      <w:r>
        <w:t xml:space="preserve">Annexe — Références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Workflow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Courrier_Automatique_v2_PII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Sous-workflow PII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PII_Guard_Anonymisation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Instance n8n (production)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n8n-pxlk.srv1480638.hstgr.cloud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Webhook demande initiale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/webhook/courrier-automatique-v2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Webhook décision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/webhook/courrier-approve-v2?decision=approved|rejected&amp;data=...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Webhook correction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/webhook/courrier-corriger-v2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Webhook envoi final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/webhook/courrier-envoyer-v2?data=...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Démo publique en ligne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www.transferai.ci/demo/courrier-automatique-pii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40"/>
      <w:outlineLvl w:val="0"/>
    </w:pPr>
    <w:rPr>
      <w:rFonts w:ascii="Arial" w:cs="Arial" w:eastAsia="Arial" w:hAnsi="Arial"/>
      <w:b/>
      <w:bCs/>
      <w:color w:val="10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87174435cab47e4af239dd671761b284277f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2026-07-10T01:53:37.580Z</dcterms:created>
  <dcterms:modified xsi:type="dcterms:W3CDTF">2026-07-10T01:53:37.586Z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