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222222"/>
          <w:sz w:val="46"/>
        </w:rPr>
        <w:t>Programme de formation IA appliquée</w:t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 w:val="0"/>
          <w:color w:val="5F6368"/>
          <w:sz w:val="24"/>
        </w:rPr>
        <w:t>Annexe prête à joindre à un courrier de proposition</w:t>
      </w:r>
    </w:p>
    <w:p>
      <w:pPr>
        <w:spacing w:before="0" w:after="200" w:line="240" w:lineRule="auto"/>
        <w:jc w:val="left"/>
        <w:pBdr>
          <w:bottom w:val="single" w:sz="6" w:space="1" w:color="DADCE0"/>
        </w:pBdr>
      </w:pPr>
    </w:p>
    <w:p>
      <w:pPr>
        <w:spacing w:before="0" w:after="200" w:line="264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Cette formation TransferAI est conçue pour aider les organisations à comprendre les usages concrets de l'IA, sécuriser l'utilisation des données sensibles et définir un plan d'action réaliste à partir de cas métier.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5F8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5F6368"/>
                <w:sz w:val="21"/>
              </w:rPr>
              <w:t>Format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Formation présentielle de 2 jours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5F8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5F6368"/>
                <w:sz w:val="21"/>
              </w:rPr>
              <w:t>Public visé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PME, grandes entreprises et équipes métiers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5F8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5F6368"/>
                <w:sz w:val="21"/>
              </w:rPr>
              <w:t>Approche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Démonstrations concrètes, ateliers pratiques, plan d'action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5F8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5F6368"/>
                <w:sz w:val="21"/>
              </w:rPr>
              <w:t>Point fort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Protection des données sensibles et outils opérationnels</w:t>
            </w:r>
          </w:p>
        </w:tc>
      </w:tr>
    </w:tbl>
    <w:p>
      <w:pPr>
        <w:spacing w:before="320" w:after="160" w:line="240" w:lineRule="auto"/>
        <w:jc w:val="left"/>
      </w:pPr>
      <w:r>
        <w:rPr>
          <w:rFonts w:ascii="Calibri" w:hAnsi="Calibri"/>
          <w:b/>
          <w:i w:val="0"/>
          <w:color w:val="1A4C82"/>
          <w:sz w:val="32"/>
        </w:rPr>
        <w:t>Objectifs de la session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Comprendre ce que l'IA générative peut et ne peut pas faire dans une PME ou une grande entreprise.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Découvrir des solutions TransferAI déjà en production et directement transposables à des contextes métier.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Adopter les bons réflexes de confidentialité avant toute utilisation d'un outil d'IA grand public.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Construire un plan d'action IA personnalisé à partir des enjeux réels des participants.</w:t>
      </w:r>
    </w:p>
    <w:p>
      <w:pPr>
        <w:spacing w:before="320" w:after="160" w:line="240" w:lineRule="auto"/>
        <w:jc w:val="left"/>
      </w:pPr>
      <w:r>
        <w:rPr>
          <w:rFonts w:ascii="Calibri" w:hAnsi="Calibri"/>
          <w:b/>
          <w:i w:val="0"/>
          <w:color w:val="1A4C82"/>
          <w:sz w:val="32"/>
        </w:rPr>
        <w:t>Programme détaillé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1A4C82"/>
          <w:sz w:val="26"/>
        </w:rPr>
        <w:t>Jour 1 (matin) | Panorama IA et services TransferAI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Introduction à l'IA générative : usages pertinents, limites et points de vigilance pour l'entreprise.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Panorama des solutions TransferAI déjà en production : automatisation de la relation prospect/client, audit digital automatisé, assistant conversationnel multicanal, recherche documentaire intelligente et comptes-rendus de réunion par transcription IA.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Mise en perspective des bénéfices mesurables : gain de temps, disponibilité 24/7, réduction des erreurs de saisie et scalabilité sans recrutement proportionnel.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1A4C82"/>
          <w:sz w:val="26"/>
        </w:rPr>
        <w:t>Jour 1 (après-midi) | Sensibilisation aux données sensibles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Pourquoi la question est critique : une donnée partagée dans une IA publique peut être mémorisée, journalisée ou exposée.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Typologie des données sensibles en entreprise : identité, coordonnées bancaires, données RH, informations clients confidentielles et secrets commerciaux.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Démonstration en direct du module PII Guard de TransferAI : anonymisation locale sans appel externe avant traitement IA, puis restitution réservée aux personnes habilitées.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Bonnes pratiques immédiatement applicables : ce qu'il est permis d'utiliser avec l'IA et ce qu'il ne faut jamais copier-coller dans un outil grand public.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Atelier d'identification des données sensibles propres à l'activité de chaque participant.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1A4C82"/>
          <w:sz w:val="26"/>
        </w:rPr>
        <w:t>Jour 2 | Mise en pratique et plan d'action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Ateliers pratiques sur des cas réels apportés par les participants : prospection, audit interne, support client et organisation documentaire.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Construction d'un plan d'action IA personnalisé par participant ou par entreprise.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Session de questions-réponses avec un expert du réseau des 13 experts internationaux TransferAI.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Présentation des modalités d'accompagnement post-formation.</w:t>
      </w:r>
    </w:p>
    <w:p>
      <w:pPr>
        <w:spacing w:before="320" w:after="160" w:line="240" w:lineRule="auto"/>
        <w:jc w:val="left"/>
      </w:pPr>
      <w:r>
        <w:rPr>
          <w:rFonts w:ascii="Calibri" w:hAnsi="Calibri"/>
          <w:b/>
          <w:i w:val="0"/>
          <w:color w:val="1A4C82"/>
          <w:sz w:val="32"/>
        </w:rPr>
        <w:t>Livrables remis aux participants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Support de formation complet au format PDF.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Grille d'auto-diagnostic IA pour l'entreprise.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Plan d'action IA personnalisé remis individuellement.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Accès de démonstration à un ou plusieurs outils présentés.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Attestation de participation TransferAI Africa.</w:t>
      </w:r>
    </w:p>
    <w:p>
      <w:pPr>
        <w:spacing w:before="320" w:after="160" w:line="240" w:lineRule="auto"/>
        <w:jc w:val="left"/>
      </w:pPr>
      <w:r>
        <w:rPr>
          <w:rFonts w:ascii="Calibri" w:hAnsi="Calibri"/>
          <w:b/>
          <w:i w:val="0"/>
          <w:color w:val="1A4C82"/>
          <w:sz w:val="32"/>
        </w:rPr>
        <w:t>Différenciateurs clés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Ordinateurs portables fournis pour faciliter la mise en pratique pendant la session.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Accompagnement post-formation pour aider à transformer les apprentissages en actions concrètes.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Focus assumé sur la protection des données sensibles et la maîtrise des risques liés à l'usage de l'IA.</w:t>
      </w:r>
    </w:p>
    <w:p>
      <w:pPr>
        <w:pStyle w:val="ListBullet"/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Équipe d'experts de référence incluant notamment Dr GOUHO Bi Néantien Jean Baptiste, Docteur-Ingénieur en Informatique avec plus de 15 ans d'expérience en IA, ainsi qu'Emmanuelle Koffi, certifiée Google AI Professional.</w:t>
      </w:r>
    </w:p>
    <w:p>
      <w:pPr>
        <w:spacing w:before="320" w:after="160" w:line="240" w:lineRule="auto"/>
        <w:jc w:val="left"/>
      </w:pPr>
      <w:r>
        <w:rPr>
          <w:rFonts w:ascii="Calibri" w:hAnsi="Calibri"/>
          <w:b/>
          <w:i w:val="0"/>
          <w:color w:val="1A4C82"/>
          <w:sz w:val="32"/>
        </w:rPr>
        <w:t>Experts mobilisés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0F6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4C82"/>
                <w:sz w:val="22"/>
              </w:rPr>
              <w:t>Expert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0F6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4C82"/>
                <w:sz w:val="22"/>
              </w:rPr>
              <w:t>Domaine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Dr GOUHO Bi Néantien Jean Baptiste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Expert en IA, automatisation et systèmes d'entreprise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Roland COFFI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Consultant expert en diplomatie, IA appliquée et formation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Jean Serge ANON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Expert auditeur et formateur-coach multipotentiel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Sery Medard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Consultant expert en data engineering, cloud et plateformes IA</w:t>
            </w:r>
          </w:p>
        </w:tc>
      </w:tr>
    </w:tbl>
    <w:p>
      <w:pPr>
        <w:spacing w:before="200" w:after="0" w:line="264" w:lineRule="auto"/>
        <w:jc w:val="left"/>
      </w:pPr>
      <w:r>
        <w:rPr>
          <w:rFonts w:ascii="Calibri" w:hAnsi="Calibri"/>
          <w:b w:val="0"/>
          <w:i/>
          <w:color w:val="5F6368"/>
          <w:sz w:val="20"/>
        </w:rPr>
        <w:t>Les modalités pratiques complémentaires, telles que les horaires détaillés, le lieu exact et les conditions tarifaires, peuvent être précisées dans la version finale ou dans le courrier d'accompagnement.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Calibri" w:hAnsi="Calibri"/>
        <w:b w:val="0"/>
        <w:i w:val="0"/>
        <w:color w:val="5F6368"/>
        <w:sz w:val="18"/>
      </w:rPr>
      <w:t>TransferAI Africa | Annexe programme de formation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