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56"/>
          <w:sz-cs w:val="56"/>
          <w:b/>
          <w:spacing w:val="0"/>
          <w:color w:val="0D121F"/>
        </w:rPr>
        <w:t xml:space="preserve">TransferAI Africa - Note Direction / Partage Externe</w:t>
      </w:r>
    </w:p>
    <w:p>
      <w:pPr>
        <w:spacing w:after="440"/>
      </w:pPr>
      <w:r>
        <w:rPr>
          <w:rFonts w:ascii="Arial" w:hAnsi="Arial" w:cs="Arial"/>
          <w:sz w:val="32"/>
          <w:sz-cs w:val="32"/>
          <w:spacing w:val="0"/>
          <w:color w:val="585E6D"/>
        </w:rPr>
        <w:t xml:space="preserve">Version synthétique - mise à jour du 1er mai 2026</w:t>
      </w:r>
    </w:p>
    <w:p>
      <w:pPr/>
      <w:r>
        <w:rPr>
          <w:rFonts w:ascii="Arial" w:hAnsi="Arial" w:cs="Arial"/>
          <w:sz w:val="24"/>
          <w:sz-cs w:val="24"/>
          <w:b/>
          <w:spacing w:val="0"/>
          <w:color w:val="181E2A"/>
        </w:rPr>
        <w:t xml:space="preserve">Objet :</w:t>
      </w:r>
      <w:r>
        <w:rPr>
          <w:rFonts w:ascii="Arial" w:hAnsi="Arial" w:cs="Arial"/>
          <w:sz w:val="24"/>
          <w:sz-cs w:val="24"/>
          <w:spacing w:val="0"/>
          <w:color w:val="181E2A"/>
        </w:rPr>
        <w:t xml:space="preserve"> présenter l’état actuel du site TransferAI Africa, sa valeur business, ses briques déjà construites et les prochains axes de développement dans un format court, partageable et non technique.</w:t>
      </w:r>
    </w:p>
    <w:p>
      <w:pPr/>
      <w:r>
        <w:rPr>
          <w:rFonts w:ascii="Arial" w:hAnsi="Arial" w:cs="Arial"/>
          <w:sz w:val="24"/>
          <w:sz-cs w:val="24"/>
          <w:b/>
          <w:spacing w:val="0"/>
          <w:color w:val="181E2A"/>
        </w:rPr>
        <w:t xml:space="preserve">Faits marquants récents :</w:t>
      </w:r>
      <w:r>
        <w:rPr>
          <w:rFonts w:ascii="Arial" w:hAnsi="Arial" w:cs="Arial"/>
          <w:sz w:val="24"/>
          <w:sz-cs w:val="24"/>
          <w:spacing w:val="0"/>
          <w:color w:val="181E2A"/>
        </w:rPr>
        <w:t xml:space="preserve"> simplification des pages denses, meilleure exposition de l’audit IA gratuit, pipeline partenaires opérationnel, flux catalogue plus direct, capsules vidéo pilotées par backend, module BackOffice WhatsApp V1 en production et notifications email internes sur messages entrants.</w:t>
      </w:r>
    </w:p>
    <w:p>
      <w:pPr>
        <w:spacing w:after="348"/>
      </w:pPr>
      <w:r>
        <w:rPr>
          <w:rFonts w:ascii="Arial" w:hAnsi="Arial" w:cs="Arial"/>
          <w:sz w:val="42"/>
          <w:sz-cs w:val="42"/>
          <w:b/>
          <w:spacing w:val="0"/>
          <w:color w:val="0D121F"/>
        </w:rPr>
        <w:t xml:space="preserve">1. Ce qu’est aujourd’hui TransferAI Africa</w:t>
      </w:r>
    </w:p>
    <w:p>
      <w:pPr>
        <w:spacing w:after="320"/>
      </w:pPr>
      <w:r>
        <w:rPr>
          <w:rFonts w:ascii="Arial" w:hAnsi="Arial" w:cs="Arial"/>
          <w:sz w:val="32"/>
          <w:sz-cs w:val="32"/>
          <w:spacing w:val="0"/>
          <w:color w:val="181E2A"/>
        </w:rPr>
        <w:t xml:space="preserve">TransferAI Africa n’est plus seulement un site vitrine. C’est désormais une plateforme structurée qui combine :</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formation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certification sectorielle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offre entreprise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ressources éditoriales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matrice outils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back-office d’administration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pipeline éditorial assisté par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newsletter ciblée par domaine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intake WhatsApp administrable</w:t>
      </w:r>
    </w:p>
    <w:p>
      <w:pPr>
        <w:spacing w:after="348"/>
      </w:pPr>
      <w:r>
        <w:rPr>
          <w:rFonts w:ascii="Arial" w:hAnsi="Arial" w:cs="Arial"/>
          <w:sz w:val="42"/>
          <w:sz-cs w:val="42"/>
          <w:b/>
          <w:spacing w:val="0"/>
          <w:color w:val="0D121F"/>
        </w:rPr>
        <w:t xml:space="preserve">2. Ce que le site permet déjà</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présenter l’offre de formation et de certification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orienter les visiteurs selon leur profil et leur besoin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capter des leads entreprise avec une porte d’entrée plus claire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mettre en avant un audit IA gratuit comme levier de conversion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répondre plus vite aux demandes catalogue par domaine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alimenter une audience avec blog, veille et newsletter</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recevoir et traiter des demandes partenaires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recevoir et traiter des messages WhatsApp entrants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piloter plusieurs opérations depuis un back-office centralisé</w:t>
      </w:r>
    </w:p>
    <w:p>
      <w:pPr>
        <w:spacing w:after="348"/>
      </w:pPr>
      <w:r>
        <w:rPr>
          <w:rFonts w:ascii="Arial" w:hAnsi="Arial" w:cs="Arial"/>
          <w:sz w:val="42"/>
          <w:sz-cs w:val="42"/>
          <w:b/>
          <w:spacing w:val="0"/>
          <w:color w:val="0D121F"/>
        </w:rPr>
        <w:t xml:space="preserve">3. Différenciation stratégique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FR d’abord, ancrage Côte d’Ivoire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approche métier et non gadget</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13 domaines d’expertise couverts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combinaison formation + contenus + entreprise + outils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logique de veille transformée en contenus actionnables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base déjà exploitable pour un futur assistant IA</w:t>
      </w:r>
    </w:p>
    <w:p>
      <w:pPr>
        <w:spacing w:after="348"/>
      </w:pPr>
      <w:r>
        <w:rPr>
          <w:rFonts w:ascii="Arial" w:hAnsi="Arial" w:cs="Arial"/>
          <w:sz w:val="42"/>
          <w:sz-cs w:val="42"/>
          <w:b/>
          <w:spacing w:val="0"/>
          <w:color w:val="0D121F"/>
        </w:rPr>
        <w:t xml:space="preserve">4. Valeur business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vitrine premium</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support de conversion commerciale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outil de crédibilité éditoriale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socle de nurturing via la newsletter et les contenus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base de connaissance pour automatisations futures</w:t>
      </w:r>
    </w:p>
    <w:p>
      <w:pPr>
        <w:spacing w:after="348"/>
      </w:pPr>
      <w:r>
        <w:rPr>
          <w:rFonts w:ascii="Arial" w:hAnsi="Arial" w:cs="Arial"/>
          <w:sz w:val="42"/>
          <w:sz-cs w:val="42"/>
          <w:b/>
          <w:spacing w:val="0"/>
          <w:color w:val="0D121F"/>
        </w:rPr>
        <w:t xml:space="preserve">5. Briques déjà en place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front structuré et déployé</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blog dynamique et pages article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certification sectorielle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matrice outils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back-office contenus, newsletter, partenaires, capsules vidéo et WhatsApp</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pipeline éditorial assisté par IA</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pipeline partenaires avec recommandation et email de réponse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notifications internes sur messages WhatsApp</w:t>
      </w:r>
    </w:p>
    <w:p>
      <w:pPr>
        <w:spacing w:after="348"/>
      </w:pPr>
      <w:r>
        <w:rPr>
          <w:rFonts w:ascii="Arial" w:hAnsi="Arial" w:cs="Arial"/>
          <w:sz w:val="42"/>
          <w:sz-cs w:val="42"/>
          <w:b/>
          <w:spacing w:val="0"/>
          <w:color w:val="0D121F"/>
        </w:rPr>
        <w:t xml:space="preserve">6. Mise à jour importante au 1er mai 2026</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module BackOffice WhatsApp V1 validé en production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chaîne WhatsApp → Twilio → Supabase → BackOffice → email validée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table de logs email WhatsApp ajoutée pour la traçabilité</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capsules vidéo pilotées par backend et prêtes à évoluer</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documentation d’exploitation renforcée</w:t>
      </w:r>
    </w:p>
    <w:p>
      <w:pPr>
        <w:spacing w:after="348"/>
      </w:pPr>
      <w:r>
        <w:rPr>
          <w:rFonts w:ascii="Arial" w:hAnsi="Arial" w:cs="Arial"/>
          <w:sz w:val="42"/>
          <w:sz-cs w:val="42"/>
          <w:b/>
          <w:spacing w:val="0"/>
          <w:color w:val="0D121F"/>
        </w:rPr>
        <w:t xml:space="preserve">7. Gouvernance recommandée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maintenir un administrateur principal</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prévoir un administrateur relais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documenter systématiquement les secrets et workflows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conserver la validation humaine sur les contenus et newsletters clés</w:t>
      </w:r>
    </w:p>
    <w:p>
      <w:pPr>
        <w:spacing w:after="348"/>
      </w:pPr>
      <w:r>
        <w:rPr>
          <w:rFonts w:ascii="Arial" w:hAnsi="Arial" w:cs="Arial"/>
          <w:sz w:val="42"/>
          <w:sz-cs w:val="42"/>
          <w:b/>
          <w:spacing w:val="0"/>
          <w:color w:val="0D121F"/>
        </w:rPr>
        <w:t xml:space="preserve">8. Prochaines étapes rationnelles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continuer à simplifier les pages encore trop denses</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renforcer les analytics utiles à la décision</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industrialiser encore la relation audience</w:t>
      </w:r>
    </w:p>
    <w:p>
      <w:pPr>
        <w:ind w:left="720" w:first-line="-720"/>
      </w:pPr>
      <w:r>
        <w:rPr>
          <w:rFonts w:ascii="Arial" w:hAnsi="Arial" w:cs="Arial"/>
          <w:sz w:val="32"/>
          <w:sz-cs w:val="32"/>
          <w:color w:val="181E2A"/>
        </w:rPr>
        <w:t xml:space="preserve"/>
        <w:tab/>
        <w:t xml:space="preserve">•</w:t>
        <w:tab/>
        <w:t xml:space="preserve"/>
      </w:r>
      <w:r>
        <w:rPr>
          <w:rFonts w:ascii="Arial" w:hAnsi="Arial" w:cs="Arial"/>
          <w:sz w:val="32"/>
          <w:sz-cs w:val="32"/>
          <w:spacing w:val="0"/>
          <w:color w:val="181E2A"/>
        </w:rPr>
        <w:t xml:space="preserve">préparer la prochaine couche assistant IA / automatisation</w:t>
      </w:r>
    </w:p>
    <w:p>
      <w:pPr/>
      <w:r>
        <w:rPr>
          <w:rFonts w:ascii="Arial" w:hAnsi="Arial" w:cs="Arial"/>
          <w:sz w:val="24"/>
          <w:sz-cs w:val="24"/>
          <w:b/>
          <w:spacing w:val="0"/>
          <w:color w:val="181E2A"/>
        </w:rPr>
        <w:t xml:space="preserve">Conclusion :</w:t>
      </w:r>
      <w:r>
        <w:rPr>
          <w:rFonts w:ascii="Arial" w:hAnsi="Arial" w:cs="Arial"/>
          <w:sz w:val="24"/>
          <w:sz-cs w:val="24"/>
          <w:spacing w:val="0"/>
          <w:color w:val="181E2A"/>
        </w:rPr>
        <w:t xml:space="preserve"> le site a franchi le cap du simple site institutionnel. Il sert désormais à informer, convertir, administrer, suivre les interactions entrantes et préparer la prochaine couche d’automatisation intelligente de TransferAI Africa.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