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0263F" w:val="clear"/>
        <w:spacing w:after="0" w:before="0"/>
      </w:pPr>
      <w:r>
        <w:rPr>
          <w:sz w:val="2"/>
          <w:szCs w:val="2"/>
        </w:rPr>
        <w:t xml:space="preserve"> </w:t>
      </w:r>
    </w:p>
    <w:p>
      <w:pPr>
        <w:spacing w:after="60" w:before="260"/>
      </w:pPr>
      <w:r>
        <w:rPr>
          <w:b/>
          <w:bCs/>
          <w:color w:val="1E8A99"/>
          <w:sz w:val="18"/>
          <w:szCs w:val="18"/>
        </w:rPr>
        <w:t xml:space="preserve">TRANSFERAI AFRICA · GUIDE RAG</w:t>
      </w:r>
    </w:p>
    <w:p>
      <w:pPr>
        <w:spacing w:after="60"/>
      </w:pPr>
      <w:r>
        <w:rPr>
          <w:b/>
          <w:bCs/>
          <w:color w:val="10263F"/>
          <w:sz w:val="42"/>
          <w:szCs w:val="42"/>
        </w:rPr>
        <w:t xml:space="preserve">LE RAG EN ENTREPRISE</w:t>
      </w:r>
    </w:p>
    <w:p>
      <w:pPr>
        <w:spacing w:after="60"/>
      </w:pPr>
      <w:r>
        <w:rPr>
          <w:b/>
          <w:bCs/>
          <w:color w:val="10263F"/>
          <w:sz w:val="26"/>
          <w:szCs w:val="26"/>
        </w:rPr>
        <w:t xml:space="preserve">Guide complet, cas d'usage et retour d'expérience TransferAI Africa</w:t>
      </w:r>
    </w:p>
    <w:p>
      <w:pPr>
        <w:spacing w:after="280"/>
      </w:pPr>
      <w:r>
        <w:rPr>
          <w:i/>
          <w:iCs/>
          <w:color w:val="6B7280"/>
          <w:sz w:val="20"/>
          <w:szCs w:val="20"/>
        </w:rPr>
        <w:t xml:space="preserve">Définition, fonctionnement, retour sur investissement et déclinaisons sectorielles — un cas d'usage réel, réplicable dans toute organisation.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7"/>
      </w:tblGrid>
      <w:tr>
        <w:tc>
          <w:tcPr>
            <w:tcW w:type="dxa" w:w="2822"/>
            <w:shd w:fill="10263F" w:val="clear"/>
            <w:tcMar>
              <w:top w:type="dxa" w:w="100"/>
              <w:left w:type="dxa" w:w="120"/>
              <w:bottom w:type="dxa" w:w="100"/>
              <w:right w:type="dxa" w:w="120"/>
            </w:tcMar>
          </w:tcPr>
          <w:p>
            <w:r>
              <w:rPr>
                <w:b/>
                <w:bCs/>
                <w:color w:val="FFFFFF"/>
                <w:sz w:val="18"/>
                <w:szCs w:val="18"/>
              </w:rPr>
              <w:t xml:space="preserve">DOCUMENT</w:t>
            </w:r>
          </w:p>
        </w:tc>
        <w:tc>
          <w:tcPr>
            <w:tcW w:type="dxa" w:w="7257"/>
            <w:shd w:fill="10263F" w:val="clear"/>
            <w:tcMar>
              <w:top w:type="dxa" w:w="100"/>
              <w:left w:type="dxa" w:w="120"/>
              <w:bottom w:type="dxa" w:w="100"/>
              <w:right w:type="dxa" w:w="120"/>
            </w:tcMar>
          </w:tcPr>
          <w:p>
            <w:r>
              <w:rPr>
                <w:b/>
                <w:bCs/>
                <w:color w:val="FFFFFF"/>
                <w:sz w:val="18"/>
                <w:szCs w:val="18"/>
              </w:rPr>
              <w:t xml:space="preserve">Guide utilisateur et de dépannage — Recherche Documentaire Intelligente (RAG)</w:t>
            </w:r>
          </w:p>
        </w:tc>
      </w:tr>
      <w:tr>
        <w:tc>
          <w:tcPr>
            <w:tcW w:type="dxa" w:w="2822"/>
            <w:shd w:fill="FFFFFF" w:val="clear"/>
            <w:tcMar>
              <w:top w:type="dxa" w:w="100"/>
              <w:left w:type="dxa" w:w="120"/>
              <w:bottom w:type="dxa" w:w="100"/>
              <w:right w:type="dxa" w:w="120"/>
            </w:tcMar>
          </w:tcPr>
          <w:p>
            <w:r>
              <w:rPr>
                <w:b w:val="false"/>
                <w:bCs w:val="false"/>
                <w:color w:val="1F2937"/>
                <w:sz w:val="19"/>
                <w:szCs w:val="19"/>
              </w:rPr>
              <w:t xml:space="preserve">CAS DE RÉFÉRENCE</w:t>
            </w:r>
          </w:p>
        </w:tc>
        <w:tc>
          <w:tcPr>
            <w:tcW w:type="dxa" w:w="7257"/>
            <w:shd w:fill="FFFFFF" w:val="clear"/>
            <w:tcMar>
              <w:top w:type="dxa" w:w="100"/>
              <w:left w:type="dxa" w:w="120"/>
              <w:bottom w:type="dxa" w:w="100"/>
              <w:right w:type="dxa" w:w="120"/>
            </w:tcMar>
          </w:tcPr>
          <w:p>
            <w:r>
              <w:rPr>
                <w:b w:val="false"/>
                <w:bCs w:val="false"/>
                <w:color w:val="1F2937"/>
                <w:sz w:val="19"/>
                <w:szCs w:val="19"/>
              </w:rPr>
              <w:t xml:space="preserve">TransferAI Africa — système RAG en production depuis juillet 2026</w:t>
            </w:r>
          </w:p>
        </w:tc>
      </w:tr>
      <w:tr>
        <w:tc>
          <w:tcPr>
            <w:tcW w:type="dxa" w:w="2822"/>
            <w:shd w:fill="F4F6F9" w:val="clear"/>
            <w:tcMar>
              <w:top w:type="dxa" w:w="100"/>
              <w:left w:type="dxa" w:w="120"/>
              <w:bottom w:type="dxa" w:w="100"/>
              <w:right w:type="dxa" w:w="120"/>
            </w:tcMar>
          </w:tcPr>
          <w:p>
            <w:r>
              <w:rPr>
                <w:b w:val="false"/>
                <w:bCs w:val="false"/>
                <w:color w:val="1F2937"/>
                <w:sz w:val="19"/>
                <w:szCs w:val="19"/>
              </w:rPr>
              <w:t xml:space="preserve">PUBLIC</w:t>
            </w:r>
          </w:p>
        </w:tc>
        <w:tc>
          <w:tcPr>
            <w:tcW w:type="dxa" w:w="7257"/>
            <w:shd w:fill="F4F6F9" w:val="clear"/>
            <w:tcMar>
              <w:top w:type="dxa" w:w="100"/>
              <w:left w:type="dxa" w:w="120"/>
              <w:bottom w:type="dxa" w:w="100"/>
              <w:right w:type="dxa" w:w="120"/>
            </w:tcMar>
          </w:tcPr>
          <w:p>
            <w:r>
              <w:rPr>
                <w:b w:val="false"/>
                <w:bCs w:val="false"/>
                <w:color w:val="1F2937"/>
                <w:sz w:val="19"/>
                <w:szCs w:val="19"/>
              </w:rPr>
              <w:t xml:space="preserve">Toute organisation souhaitant évaluer ou déployer un système RAG</w:t>
            </w:r>
          </w:p>
        </w:tc>
      </w:tr>
    </w:tbl>
    <w:p>
      <w:pPr>
        <w:pStyle w:val="Heading1"/>
        <w:pBdr>
          <w:bottom w:val="single" w:color="1E8A99" w:sz="8" w:space="6"/>
        </w:pBdr>
        <w:spacing w:after="200" w:before="480"/>
      </w:pPr>
      <w:r>
        <w:rPr>
          <w:b/>
          <w:bCs/>
          <w:color w:val="10263F"/>
          <w:sz w:val="30"/>
          <w:szCs w:val="30"/>
        </w:rPr>
        <w:t xml:space="preserve">Sommaire</w:t>
      </w:r>
    </w:p>
    <w:p>
      <w:pPr>
        <w:pStyle w:val="ListParagraph"/>
        <w:numPr>
          <w:ilvl w:val="0"/>
          <w:numId w:val="2"/>
        </w:numPr>
        <w:spacing w:after="90"/>
      </w:pPr>
      <w:r>
        <w:rPr>
          <w:color w:val="1F2937"/>
          <w:sz w:val="21"/>
          <w:szCs w:val="21"/>
        </w:rPr>
        <w:t xml:space="preserve">Partie 1 — Comprendre le RAG : définition, fonctionnement, vocabulaire</w:t>
      </w:r>
    </w:p>
    <w:p>
      <w:pPr>
        <w:pStyle w:val="ListParagraph"/>
        <w:numPr>
          <w:ilvl w:val="0"/>
          <w:numId w:val="2"/>
        </w:numPr>
        <w:spacing w:after="90"/>
      </w:pPr>
      <w:r>
        <w:rPr>
          <w:color w:val="1F2937"/>
          <w:sz w:val="21"/>
          <w:szCs w:val="21"/>
        </w:rPr>
        <w:t xml:space="preserve">Partie 2 — Le cas d'usage TransferAI Africa : une mise en œuvre concrète</w:t>
      </w:r>
    </w:p>
    <w:p>
      <w:pPr>
        <w:pStyle w:val="ListParagraph"/>
        <w:numPr>
          <w:ilvl w:val="0"/>
          <w:numId w:val="2"/>
        </w:numPr>
        <w:spacing w:after="90"/>
      </w:pPr>
      <w:r>
        <w:rPr>
          <w:color w:val="1F2937"/>
          <w:sz w:val="21"/>
          <w:szCs w:val="21"/>
        </w:rPr>
        <w:t xml:space="preserve">Partie 3 — Avant / Après et retour sur investissement</w:t>
      </w:r>
    </w:p>
    <w:p>
      <w:pPr>
        <w:pStyle w:val="ListParagraph"/>
        <w:numPr>
          <w:ilvl w:val="0"/>
          <w:numId w:val="2"/>
        </w:numPr>
        <w:spacing w:after="90"/>
      </w:pPr>
      <w:r>
        <w:rPr>
          <w:color w:val="1F2937"/>
          <w:sz w:val="21"/>
          <w:szCs w:val="21"/>
        </w:rPr>
        <w:t xml:space="preserve">Partie 4 — Applications par secteur d'activité</w:t>
      </w:r>
    </w:p>
    <w:p>
      <w:pPr>
        <w:pStyle w:val="ListParagraph"/>
        <w:numPr>
          <w:ilvl w:val="0"/>
          <w:numId w:val="2"/>
        </w:numPr>
        <w:spacing w:after="90"/>
      </w:pPr>
      <w:r>
        <w:rPr>
          <w:color w:val="1F2937"/>
          <w:sz w:val="21"/>
          <w:szCs w:val="21"/>
        </w:rPr>
        <w:t xml:space="preserve">Partie 5 — Guide utilisateur : bien utiliser un système RAG au quotidien</w:t>
      </w:r>
    </w:p>
    <w:p>
      <w:pPr>
        <w:pStyle w:val="ListParagraph"/>
        <w:numPr>
          <w:ilvl w:val="0"/>
          <w:numId w:val="2"/>
        </w:numPr>
        <w:spacing w:after="90"/>
      </w:pPr>
      <w:r>
        <w:rPr>
          <w:color w:val="1F2937"/>
          <w:sz w:val="21"/>
          <w:szCs w:val="21"/>
        </w:rPr>
        <w:t xml:space="preserve">Partie 6 — Guide de dépannage</w:t>
      </w:r>
    </w:p>
    <w:p>
      <w:pPr>
        <w:pStyle w:val="ListParagraph"/>
        <w:numPr>
          <w:ilvl w:val="0"/>
          <w:numId w:val="2"/>
        </w:numPr>
        <w:spacing w:after="90"/>
      </w:pPr>
      <w:r>
        <w:rPr>
          <w:color w:val="1F2937"/>
          <w:sz w:val="21"/>
          <w:szCs w:val="21"/>
        </w:rPr>
        <w:t xml:space="preserve">Partie 7 — Conclusion et prochaines étapes</w:t>
      </w:r>
    </w:p>
    <w:p>
      <w:r>
        <w:br w:type="page"/>
      </w:r>
    </w:p>
    <w:p>
      <w:pPr>
        <w:pStyle w:val="Heading1"/>
        <w:pBdr>
          <w:bottom w:val="single" w:color="1E8A99" w:sz="8" w:space="6"/>
        </w:pBdr>
        <w:spacing w:after="200" w:before="480"/>
      </w:pPr>
      <w:r>
        <w:rPr>
          <w:b/>
          <w:bCs/>
          <w:color w:val="10263F"/>
          <w:sz w:val="30"/>
          <w:szCs w:val="30"/>
        </w:rPr>
        <w:t xml:space="preserve">Partie 1 — Comprendre le RAG</w:t>
      </w:r>
    </w:p>
    <w:p>
      <w:pPr>
        <w:pStyle w:val="Heading2"/>
        <w:spacing w:after="140" w:before="320"/>
      </w:pPr>
      <w:r>
        <w:rPr>
          <w:b/>
          <w:bCs/>
          <w:color w:val="10263F"/>
          <w:sz w:val="23"/>
          <w:szCs w:val="23"/>
        </w:rPr>
        <w:t xml:space="preserve">1.1 Qu'est-ce qu'un RAG ?</w:t>
      </w:r>
    </w:p>
    <w:p>
      <w:pPr>
        <w:spacing w:after="160" w:line="300"/>
      </w:pPr>
      <w:r>
        <w:rPr>
          <w:b w:val="false"/>
          <w:bCs w:val="false"/>
          <w:i w:val="false"/>
          <w:iCs w:val="false"/>
          <w:color w:val="1F2937"/>
          <w:sz w:val="21"/>
          <w:szCs w:val="21"/>
        </w:rPr>
        <w:t xml:space="preserve">RAG signifie « Retrieval-Augmented Generation », soit en français « génération augmentée par récupération d'information ». C'est aujourd'hui l'une des architectures d'intelligence artificielle les plus utilisées en entreprise, car elle résout un problème très concret : comment faire en sorte qu'une IA réponde avec des informations exactes, à jour et propres à une organisation, plutôt qu'avec des connaissances génériques ou approximatives issues d'internet.</w:t>
      </w:r>
    </w:p>
    <w:p>
      <w:pPr>
        <w:pBdr>
          <w:left w:val="single" w:color="1E8A99" w:sz="12" w:space="8"/>
        </w:pBdr>
        <w:spacing w:after="200" w:before="100"/>
        <w:ind w:left="260"/>
      </w:pPr>
      <w:r>
        <w:rPr>
          <w:i/>
          <w:iCs/>
          <w:color w:val="6B7280"/>
          <w:sz w:val="20"/>
          <w:szCs w:val="20"/>
        </w:rPr>
        <w:t xml:space="preserve">Définition simple : un RAG, c'est comme avoir un expert qui connaît parfaitement toute votre documentation et qui peut répondre instantanément à n'importe quelle question en citant ses sources.</w:t>
      </w:r>
    </w:p>
    <w:p>
      <w:pPr>
        <w:spacing w:after="160" w:line="300"/>
      </w:pPr>
      <w:r>
        <w:rPr>
          <w:b w:val="false"/>
          <w:bCs w:val="false"/>
          <w:i w:val="false"/>
          <w:iCs w:val="false"/>
          <w:color w:val="1F2937"/>
          <w:sz w:val="21"/>
          <w:szCs w:val="21"/>
        </w:rPr>
        <w:t xml:space="preserve">Un système RAG combine deux briques complémentaires : la récupération (« Retrieval »), qui consiste à chercher, dans une base documentaire propre à l'organisation, les passages les plus pertinents par rapport à la question posée ; et la génération augmentée (« Augmented Generation »), où un modèle de langage rédige ensuite une réponse en s'appuyant explicitement sur ces passages, au lieu d'inventer une réponse à partir de ses seules connaissances générales.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0"/>
        <w:gridCol w:w="4032"/>
        <w:gridCol w:w="3427"/>
      </w:tblGrid>
      <w:tr>
        <w:tc>
          <w:tcPr>
            <w:tcW w:type="dxa" w:w="2620"/>
            <w:shd w:fill="10263F" w:val="clear"/>
            <w:tcMar>
              <w:top w:type="dxa" w:w="100"/>
              <w:left w:type="dxa" w:w="120"/>
              <w:bottom w:type="dxa" w:w="100"/>
              <w:right w:type="dxa" w:w="120"/>
            </w:tcMar>
          </w:tcPr>
          <w:p>
            <w:r>
              <w:rPr>
                <w:b/>
                <w:bCs/>
                <w:color w:val="FFFFFF"/>
                <w:sz w:val="18"/>
                <w:szCs w:val="18"/>
              </w:rPr>
              <w:t xml:space="preserve">LETTRE</w:t>
            </w:r>
          </w:p>
        </w:tc>
        <w:tc>
          <w:tcPr>
            <w:tcW w:type="dxa" w:w="4032"/>
            <w:shd w:fill="10263F" w:val="clear"/>
            <w:tcMar>
              <w:top w:type="dxa" w:w="100"/>
              <w:left w:type="dxa" w:w="120"/>
              <w:bottom w:type="dxa" w:w="100"/>
              <w:right w:type="dxa" w:w="120"/>
            </w:tcMar>
          </w:tcPr>
          <w:p>
            <w:r>
              <w:rPr>
                <w:b/>
                <w:bCs/>
                <w:color w:val="FFFFFF"/>
                <w:sz w:val="18"/>
                <w:szCs w:val="18"/>
              </w:rPr>
              <w:t xml:space="preserve">CE QUE FAIT L'IA</w:t>
            </w:r>
          </w:p>
        </w:tc>
        <w:tc>
          <w:tcPr>
            <w:tcW w:type="dxa" w:w="3427"/>
            <w:shd w:fill="10263F" w:val="clear"/>
            <w:tcMar>
              <w:top w:type="dxa" w:w="100"/>
              <w:left w:type="dxa" w:w="120"/>
              <w:bottom w:type="dxa" w:w="100"/>
              <w:right w:type="dxa" w:w="120"/>
            </w:tcMar>
          </w:tcPr>
          <w:p>
            <w:r>
              <w:rPr>
                <w:b/>
                <w:bCs/>
                <w:color w:val="FFFFFF"/>
                <w:sz w:val="18"/>
                <w:szCs w:val="18"/>
              </w:rPr>
              <w:t xml:space="preserve">VALEUR POUR L'ORGANISATION</w:t>
            </w:r>
          </w:p>
        </w:tc>
      </w:tr>
      <w:tr>
        <w:tc>
          <w:tcPr>
            <w:tcW w:type="dxa" w:w="2620"/>
            <w:shd w:fill="FFFFFF" w:val="clear"/>
            <w:tcMar>
              <w:top w:type="dxa" w:w="100"/>
              <w:left w:type="dxa" w:w="120"/>
              <w:bottom w:type="dxa" w:w="100"/>
              <w:right w:type="dxa" w:w="120"/>
            </w:tcMar>
          </w:tcPr>
          <w:p>
            <w:r>
              <w:rPr>
                <w:b w:val="false"/>
                <w:bCs w:val="false"/>
                <w:color w:val="1F2937"/>
                <w:sz w:val="19"/>
                <w:szCs w:val="19"/>
              </w:rPr>
              <w:t xml:space="preserve">R — Retrieval (recherche)</w:t>
            </w:r>
          </w:p>
        </w:tc>
        <w:tc>
          <w:tcPr>
            <w:tcW w:type="dxa" w:w="4032"/>
            <w:shd w:fill="FFFFFF" w:val="clear"/>
            <w:tcMar>
              <w:top w:type="dxa" w:w="100"/>
              <w:left w:type="dxa" w:w="120"/>
              <w:bottom w:type="dxa" w:w="100"/>
              <w:right w:type="dxa" w:w="120"/>
            </w:tcMar>
          </w:tcPr>
          <w:p>
            <w:r>
              <w:rPr>
                <w:b w:val="false"/>
                <w:bCs w:val="false"/>
                <w:color w:val="1F2937"/>
                <w:sz w:val="19"/>
                <w:szCs w:val="19"/>
              </w:rPr>
              <w:t xml:space="preserve">Cherche et récupère les passages les plus pertinents de la base documentaire, en moins d'une seconde.</w:t>
            </w:r>
          </w:p>
        </w:tc>
        <w:tc>
          <w:tcPr>
            <w:tcW w:type="dxa" w:w="3427"/>
            <w:shd w:fill="FFFFFF" w:val="clear"/>
            <w:tcMar>
              <w:top w:type="dxa" w:w="100"/>
              <w:left w:type="dxa" w:w="120"/>
              <w:bottom w:type="dxa" w:w="100"/>
              <w:right w:type="dxa" w:w="120"/>
            </w:tcMar>
          </w:tcPr>
          <w:p>
            <w:r>
              <w:rPr>
                <w:b w:val="false"/>
                <w:bCs w:val="false"/>
                <w:color w:val="1F2937"/>
                <w:sz w:val="19"/>
                <w:szCs w:val="19"/>
              </w:rPr>
              <w:t xml:space="preserve">Réponses basées sur les vraies données de l'entreprise, pas sur des informations génériques.</w:t>
            </w:r>
          </w:p>
        </w:tc>
      </w:tr>
      <w:tr>
        <w:tc>
          <w:tcPr>
            <w:tcW w:type="dxa" w:w="2620"/>
            <w:shd w:fill="F4F6F9" w:val="clear"/>
            <w:tcMar>
              <w:top w:type="dxa" w:w="100"/>
              <w:left w:type="dxa" w:w="120"/>
              <w:bottom w:type="dxa" w:w="100"/>
              <w:right w:type="dxa" w:w="120"/>
            </w:tcMar>
          </w:tcPr>
          <w:p>
            <w:r>
              <w:rPr>
                <w:b w:val="false"/>
                <w:bCs w:val="false"/>
                <w:color w:val="1F2937"/>
                <w:sz w:val="19"/>
                <w:szCs w:val="19"/>
              </w:rPr>
              <w:t xml:space="preserve">A — Augmented (augmentée)</w:t>
            </w:r>
          </w:p>
        </w:tc>
        <w:tc>
          <w:tcPr>
            <w:tcW w:type="dxa" w:w="4032"/>
            <w:shd w:fill="F4F6F9" w:val="clear"/>
            <w:tcMar>
              <w:top w:type="dxa" w:w="100"/>
              <w:left w:type="dxa" w:w="120"/>
              <w:bottom w:type="dxa" w:w="100"/>
              <w:right w:type="dxa" w:w="120"/>
            </w:tcMar>
          </w:tcPr>
          <w:p>
            <w:r>
              <w:rPr>
                <w:b w:val="false"/>
                <w:bCs w:val="false"/>
                <w:color w:val="1F2937"/>
                <w:sz w:val="19"/>
                <w:szCs w:val="19"/>
              </w:rPr>
              <w:t xml:space="preserve">Enrichit son contexte avec les extraits retrouvés avant de formuler sa réponse.</w:t>
            </w:r>
          </w:p>
        </w:tc>
        <w:tc>
          <w:tcPr>
            <w:tcW w:type="dxa" w:w="3427"/>
            <w:shd w:fill="F4F6F9" w:val="clear"/>
            <w:tcMar>
              <w:top w:type="dxa" w:w="100"/>
              <w:left w:type="dxa" w:w="120"/>
              <w:bottom w:type="dxa" w:w="100"/>
              <w:right w:type="dxa" w:w="120"/>
            </w:tcMar>
          </w:tcPr>
          <w:p>
            <w:r>
              <w:rPr>
                <w:b w:val="false"/>
                <w:bCs w:val="false"/>
                <w:color w:val="1F2937"/>
                <w:sz w:val="19"/>
                <w:szCs w:val="19"/>
              </w:rPr>
              <w:t xml:space="preserve">Réponses précises, complètes, contextualisées à la réalité terrain.</w:t>
            </w:r>
          </w:p>
        </w:tc>
      </w:tr>
      <w:tr>
        <w:tc>
          <w:tcPr>
            <w:tcW w:type="dxa" w:w="2620"/>
            <w:shd w:fill="FFFFFF" w:val="clear"/>
            <w:tcMar>
              <w:top w:type="dxa" w:w="100"/>
              <w:left w:type="dxa" w:w="120"/>
              <w:bottom w:type="dxa" w:w="100"/>
              <w:right w:type="dxa" w:w="120"/>
            </w:tcMar>
          </w:tcPr>
          <w:p>
            <w:r>
              <w:rPr>
                <w:b w:val="false"/>
                <w:bCs w:val="false"/>
                <w:color w:val="1F2937"/>
                <w:sz w:val="19"/>
                <w:szCs w:val="19"/>
              </w:rPr>
              <w:t xml:space="preserve">G — Generation (génération)</w:t>
            </w:r>
          </w:p>
        </w:tc>
        <w:tc>
          <w:tcPr>
            <w:tcW w:type="dxa" w:w="4032"/>
            <w:shd w:fill="FFFFFF" w:val="clear"/>
            <w:tcMar>
              <w:top w:type="dxa" w:w="100"/>
              <w:left w:type="dxa" w:w="120"/>
              <w:bottom w:type="dxa" w:w="100"/>
              <w:right w:type="dxa" w:w="120"/>
            </w:tcMar>
          </w:tcPr>
          <w:p>
            <w:r>
              <w:rPr>
                <w:b w:val="false"/>
                <w:bCs w:val="false"/>
                <w:color w:val="1F2937"/>
                <w:sz w:val="19"/>
                <w:szCs w:val="19"/>
              </w:rPr>
              <w:t xml:space="preserve">Rédige une réponse claire, structurée, en langue naturelle, avec les sources citées.</w:t>
            </w:r>
          </w:p>
        </w:tc>
        <w:tc>
          <w:tcPr>
            <w:tcW w:type="dxa" w:w="3427"/>
            <w:shd w:fill="FFFFFF" w:val="clear"/>
            <w:tcMar>
              <w:top w:type="dxa" w:w="100"/>
              <w:left w:type="dxa" w:w="120"/>
              <w:bottom w:type="dxa" w:w="100"/>
              <w:right w:type="dxa" w:w="120"/>
            </w:tcMar>
          </w:tcPr>
          <w:p>
            <w:r>
              <w:rPr>
                <w:b w:val="false"/>
                <w:bCs w:val="false"/>
                <w:color w:val="1F2937"/>
                <w:sz w:val="19"/>
                <w:szCs w:val="19"/>
              </w:rPr>
              <w:t xml:space="preserve">Un expert disponible 24 h/24 qui ne se trompe pas et montre ses sources.</w:t>
            </w:r>
          </w:p>
        </w:tc>
      </w:tr>
    </w:tbl>
    <w:p>
      <w:pPr>
        <w:pStyle w:val="Heading2"/>
        <w:spacing w:after="140" w:before="320"/>
      </w:pPr>
      <w:r>
        <w:rPr>
          <w:b/>
          <w:bCs/>
          <w:color w:val="10263F"/>
          <w:sz w:val="23"/>
          <w:szCs w:val="23"/>
        </w:rPr>
        <w:t xml:space="preserve">1.2 Comment fonctionne un RAG — sous le capot</w:t>
      </w:r>
    </w:p>
    <w:p>
      <w:pPr>
        <w:spacing w:after="160" w:line="300"/>
      </w:pPr>
      <w:r>
        <w:rPr>
          <w:b w:val="false"/>
          <w:bCs w:val="false"/>
          <w:i w:val="false"/>
          <w:iCs w:val="false"/>
          <w:color w:val="1F2937"/>
          <w:sz w:val="21"/>
          <w:szCs w:val="21"/>
        </w:rPr>
        <w:t xml:space="preserve">Le fonctionnement d'un système RAG suit toujours les mêmes quatre grandes étapes, quel que soit le secteur d'activité ou les outils techniques choisis pour le construire :</w:t>
      </w:r>
    </w:p>
    <w:p>
      <w:pPr>
        <w:pStyle w:val="ListParagraph"/>
        <w:numPr>
          <w:ilvl w:val="0"/>
          <w:numId w:val="3"/>
        </w:numPr>
        <w:spacing w:after="90"/>
      </w:pPr>
      <w:r>
        <w:rPr>
          <w:color w:val="1F2937"/>
          <w:sz w:val="21"/>
          <w:szCs w:val="21"/>
        </w:rPr>
        <w:t xml:space="preserve">Ingestion — les documents de référence (procédures, guides, catalogues, argumentaires, réglementations…) sont découpés en petits morceaux de texte (des « chunks »).</w:t>
      </w:r>
    </w:p>
    <w:p>
      <w:pPr>
        <w:pStyle w:val="ListParagraph"/>
        <w:numPr>
          <w:ilvl w:val="0"/>
          <w:numId w:val="3"/>
        </w:numPr>
        <w:spacing w:after="90"/>
      </w:pPr>
      <w:r>
        <w:rPr>
          <w:color w:val="1F2937"/>
          <w:sz w:val="21"/>
          <w:szCs w:val="21"/>
        </w:rPr>
        <w:t xml:space="preserve">Vectorisation (embeddings) — chaque morceau de texte est transformé en une suite de nombres (un « vecteur ») qui représente son sens. Deux textes proches en signification auront des vecteurs proches, même s'ils n'utilisent pas les mêmes mots.</w:t>
      </w:r>
    </w:p>
    <w:p>
      <w:pPr>
        <w:pStyle w:val="ListParagraph"/>
        <w:numPr>
          <w:ilvl w:val="0"/>
          <w:numId w:val="3"/>
        </w:numPr>
        <w:spacing w:after="90"/>
      </w:pPr>
      <w:r>
        <w:rPr>
          <w:color w:val="1F2937"/>
          <w:sz w:val="21"/>
          <w:szCs w:val="21"/>
        </w:rPr>
        <w:t xml:space="preserve">Recherche par similarité — quand une question arrive, elle est elle aussi transformée en vecteur, puis comparée mathématiquement à tous les vecteurs déjà stockés pour retrouver les morceaux de texte les plus proches en signification.</w:t>
      </w:r>
    </w:p>
    <w:p>
      <w:pPr>
        <w:pStyle w:val="ListParagraph"/>
        <w:numPr>
          <w:ilvl w:val="0"/>
          <w:numId w:val="3"/>
        </w:numPr>
        <w:spacing w:after="90"/>
      </w:pPr>
      <w:r>
        <w:rPr>
          <w:color w:val="1F2937"/>
          <w:sz w:val="21"/>
          <w:szCs w:val="21"/>
        </w:rPr>
        <w:t xml:space="preserve">Génération de la réponse — les morceaux retrouvés sont transmis à un modèle de langage, qui rédige une réponse claire en s'appuyant sur ces sources, plutôt que sur sa seule mémoire générale.</w:t>
      </w:r>
    </w:p>
    <w:p>
      <w:pPr>
        <w:pStyle w:val="Heading2"/>
        <w:spacing w:after="140" w:before="320"/>
      </w:pPr>
      <w:r>
        <w:rPr>
          <w:b/>
          <w:bCs/>
          <w:color w:val="10263F"/>
          <w:sz w:val="23"/>
          <w:szCs w:val="23"/>
        </w:rPr>
        <w:t xml:space="preserve">1.3 En quoi un RAG diffère d'un moteur de recherche classique ou d'un chatbot générique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7"/>
        <w:gridCol w:w="2620"/>
        <w:gridCol w:w="2620"/>
        <w:gridCol w:w="2620"/>
      </w:tblGrid>
      <w:tr>
        <w:tc>
          <w:tcPr>
            <w:tcW w:type="dxa" w:w="2217"/>
            <w:shd w:fill="10263F" w:val="clear"/>
            <w:tcMar>
              <w:top w:type="dxa" w:w="100"/>
              <w:left w:type="dxa" w:w="120"/>
              <w:bottom w:type="dxa" w:w="100"/>
              <w:right w:type="dxa" w:w="120"/>
            </w:tcMar>
          </w:tcPr>
          <w:p>
            <w:r>
              <w:rPr>
                <w:b/>
                <w:bCs/>
                <w:color w:val="FFFFFF"/>
                <w:sz w:val="18"/>
                <w:szCs w:val="18"/>
              </w:rPr>
              <w:t xml:space="preserve">ASPECT</w:t>
            </w:r>
          </w:p>
        </w:tc>
        <w:tc>
          <w:tcPr>
            <w:tcW w:type="dxa" w:w="2620"/>
            <w:shd w:fill="10263F" w:val="clear"/>
            <w:tcMar>
              <w:top w:type="dxa" w:w="100"/>
              <w:left w:type="dxa" w:w="120"/>
              <w:bottom w:type="dxa" w:w="100"/>
              <w:right w:type="dxa" w:w="120"/>
            </w:tcMar>
          </w:tcPr>
          <w:p>
            <w:r>
              <w:rPr>
                <w:b/>
                <w:bCs/>
                <w:color w:val="FFFFFF"/>
                <w:sz w:val="18"/>
                <w:szCs w:val="18"/>
              </w:rPr>
              <w:t xml:space="preserve">MOTEUR DE RECHERCHE CLASSIQUE</w:t>
            </w:r>
          </w:p>
        </w:tc>
        <w:tc>
          <w:tcPr>
            <w:tcW w:type="dxa" w:w="2620"/>
            <w:shd w:fill="10263F" w:val="clear"/>
            <w:tcMar>
              <w:top w:type="dxa" w:w="100"/>
              <w:left w:type="dxa" w:w="120"/>
              <w:bottom w:type="dxa" w:w="100"/>
              <w:right w:type="dxa" w:w="120"/>
            </w:tcMar>
          </w:tcPr>
          <w:p>
            <w:r>
              <w:rPr>
                <w:b/>
                <w:bCs/>
                <w:color w:val="FFFFFF"/>
                <w:sz w:val="18"/>
                <w:szCs w:val="18"/>
              </w:rPr>
              <w:t xml:space="preserve">CHATBOT IA GÉNÉRIQUE</w:t>
            </w:r>
          </w:p>
        </w:tc>
        <w:tc>
          <w:tcPr>
            <w:tcW w:type="dxa" w:w="2620"/>
            <w:shd w:fill="10263F" w:val="clear"/>
            <w:tcMar>
              <w:top w:type="dxa" w:w="100"/>
              <w:left w:type="dxa" w:w="120"/>
              <w:bottom w:type="dxa" w:w="100"/>
              <w:right w:type="dxa" w:w="120"/>
            </w:tcMar>
          </w:tcPr>
          <w:p>
            <w:r>
              <w:rPr>
                <w:b/>
                <w:bCs/>
                <w:color w:val="FFFFFF"/>
                <w:sz w:val="18"/>
                <w:szCs w:val="18"/>
              </w:rPr>
              <w:t xml:space="preserve">SYSTÈME RAG</w:t>
            </w:r>
          </w:p>
        </w:tc>
      </w:tr>
      <w:tr>
        <w:tc>
          <w:tcPr>
            <w:tcW w:type="dxa" w:w="2217"/>
            <w:shd w:fill="FFFFFF" w:val="clear"/>
            <w:tcMar>
              <w:top w:type="dxa" w:w="100"/>
              <w:left w:type="dxa" w:w="120"/>
              <w:bottom w:type="dxa" w:w="100"/>
              <w:right w:type="dxa" w:w="120"/>
            </w:tcMar>
          </w:tcPr>
          <w:p>
            <w:r>
              <w:rPr>
                <w:b w:val="false"/>
                <w:bCs w:val="false"/>
                <w:color w:val="1F2937"/>
                <w:sz w:val="19"/>
                <w:szCs w:val="19"/>
              </w:rPr>
              <w:t xml:space="preserve">Source des réponses</w:t>
            </w:r>
          </w:p>
        </w:tc>
        <w:tc>
          <w:tcPr>
            <w:tcW w:type="dxa" w:w="2620"/>
            <w:shd w:fill="FFFFFF" w:val="clear"/>
            <w:tcMar>
              <w:top w:type="dxa" w:w="100"/>
              <w:left w:type="dxa" w:w="120"/>
              <w:bottom w:type="dxa" w:w="100"/>
              <w:right w:type="dxa" w:w="120"/>
            </w:tcMar>
          </w:tcPr>
          <w:p>
            <w:r>
              <w:rPr>
                <w:b w:val="false"/>
                <w:bCs w:val="false"/>
                <w:color w:val="1F2937"/>
                <w:sz w:val="19"/>
                <w:szCs w:val="19"/>
              </w:rPr>
              <w:t xml:space="preserve">Liste de liens à ouvrir soi-même</w:t>
            </w:r>
          </w:p>
        </w:tc>
        <w:tc>
          <w:tcPr>
            <w:tcW w:type="dxa" w:w="2620"/>
            <w:shd w:fill="FFFFFF" w:val="clear"/>
            <w:tcMar>
              <w:top w:type="dxa" w:w="100"/>
              <w:left w:type="dxa" w:w="120"/>
              <w:bottom w:type="dxa" w:w="100"/>
              <w:right w:type="dxa" w:w="120"/>
            </w:tcMar>
          </w:tcPr>
          <w:p>
            <w:r>
              <w:rPr>
                <w:b w:val="false"/>
                <w:bCs w:val="false"/>
                <w:color w:val="1F2937"/>
                <w:sz w:val="19"/>
                <w:szCs w:val="19"/>
              </w:rPr>
              <w:t xml:space="preserve">Connaissances générales du modèle, potentiellement datées</w:t>
            </w:r>
          </w:p>
        </w:tc>
        <w:tc>
          <w:tcPr>
            <w:tcW w:type="dxa" w:w="2620"/>
            <w:shd w:fill="FFFFFF" w:val="clear"/>
            <w:tcMar>
              <w:top w:type="dxa" w:w="100"/>
              <w:left w:type="dxa" w:w="120"/>
              <w:bottom w:type="dxa" w:w="100"/>
              <w:right w:type="dxa" w:w="120"/>
            </w:tcMar>
          </w:tcPr>
          <w:p>
            <w:r>
              <w:rPr>
                <w:b w:val="false"/>
                <w:bCs w:val="false"/>
                <w:color w:val="1F2937"/>
                <w:sz w:val="19"/>
                <w:szCs w:val="19"/>
              </w:rPr>
              <w:t xml:space="preserve">Documents internes réels et à jour de l'organisation</w:t>
            </w:r>
          </w:p>
        </w:tc>
      </w:tr>
      <w:tr>
        <w:tc>
          <w:tcPr>
            <w:tcW w:type="dxa" w:w="2217"/>
            <w:shd w:fill="F4F6F9" w:val="clear"/>
            <w:tcMar>
              <w:top w:type="dxa" w:w="100"/>
              <w:left w:type="dxa" w:w="120"/>
              <w:bottom w:type="dxa" w:w="100"/>
              <w:right w:type="dxa" w:w="120"/>
            </w:tcMar>
          </w:tcPr>
          <w:p>
            <w:r>
              <w:rPr>
                <w:b w:val="false"/>
                <w:bCs w:val="false"/>
                <w:color w:val="1F2937"/>
                <w:sz w:val="19"/>
                <w:szCs w:val="19"/>
              </w:rPr>
              <w:t xml:space="preserve">Format de la réponse</w:t>
            </w:r>
          </w:p>
        </w:tc>
        <w:tc>
          <w:tcPr>
            <w:tcW w:type="dxa" w:w="2620"/>
            <w:shd w:fill="F4F6F9" w:val="clear"/>
            <w:tcMar>
              <w:top w:type="dxa" w:w="100"/>
              <w:left w:type="dxa" w:w="120"/>
              <w:bottom w:type="dxa" w:w="100"/>
              <w:right w:type="dxa" w:w="120"/>
            </w:tcMar>
          </w:tcPr>
          <w:p>
            <w:r>
              <w:rPr>
                <w:b w:val="false"/>
                <w:bCs w:val="false"/>
                <w:color w:val="1F2937"/>
                <w:sz w:val="19"/>
                <w:szCs w:val="19"/>
              </w:rPr>
              <w:t xml:space="preserve">Résultats bruts à trier</w:t>
            </w:r>
          </w:p>
        </w:tc>
        <w:tc>
          <w:tcPr>
            <w:tcW w:type="dxa" w:w="2620"/>
            <w:shd w:fill="F4F6F9" w:val="clear"/>
            <w:tcMar>
              <w:top w:type="dxa" w:w="100"/>
              <w:left w:type="dxa" w:w="120"/>
              <w:bottom w:type="dxa" w:w="100"/>
              <w:right w:type="dxa" w:w="120"/>
            </w:tcMar>
          </w:tcPr>
          <w:p>
            <w:r>
              <w:rPr>
                <w:b w:val="false"/>
                <w:bCs w:val="false"/>
                <w:color w:val="1F2937"/>
                <w:sz w:val="19"/>
                <w:szCs w:val="19"/>
              </w:rPr>
              <w:t xml:space="preserve">Texte rédigé mais non vérifiable</w:t>
            </w:r>
          </w:p>
        </w:tc>
        <w:tc>
          <w:tcPr>
            <w:tcW w:type="dxa" w:w="2620"/>
            <w:shd w:fill="F4F6F9" w:val="clear"/>
            <w:tcMar>
              <w:top w:type="dxa" w:w="100"/>
              <w:left w:type="dxa" w:w="120"/>
              <w:bottom w:type="dxa" w:w="100"/>
              <w:right w:type="dxa" w:w="120"/>
            </w:tcMar>
          </w:tcPr>
          <w:p>
            <w:r>
              <w:rPr>
                <w:b w:val="false"/>
                <w:bCs w:val="false"/>
                <w:color w:val="1F2937"/>
                <w:sz w:val="19"/>
                <w:szCs w:val="19"/>
              </w:rPr>
              <w:t xml:space="preserve">Texte rédigé, ancré dans des sources identifiables</w:t>
            </w:r>
          </w:p>
        </w:tc>
      </w:tr>
      <w:tr>
        <w:tc>
          <w:tcPr>
            <w:tcW w:type="dxa" w:w="2217"/>
            <w:shd w:fill="FFFFFF" w:val="clear"/>
            <w:tcMar>
              <w:top w:type="dxa" w:w="100"/>
              <w:left w:type="dxa" w:w="120"/>
              <w:bottom w:type="dxa" w:w="100"/>
              <w:right w:type="dxa" w:w="120"/>
            </w:tcMar>
          </w:tcPr>
          <w:p>
            <w:r>
              <w:rPr>
                <w:b w:val="false"/>
                <w:bCs w:val="false"/>
                <w:color w:val="1F2937"/>
                <w:sz w:val="19"/>
                <w:szCs w:val="19"/>
              </w:rPr>
              <w:t xml:space="preserve">Mise à jour</w:t>
            </w:r>
          </w:p>
        </w:tc>
        <w:tc>
          <w:tcPr>
            <w:tcW w:type="dxa" w:w="2620"/>
            <w:shd w:fill="FFFFFF" w:val="clear"/>
            <w:tcMar>
              <w:top w:type="dxa" w:w="100"/>
              <w:left w:type="dxa" w:w="120"/>
              <w:bottom w:type="dxa" w:w="100"/>
              <w:right w:type="dxa" w:w="120"/>
            </w:tcMar>
          </w:tcPr>
          <w:p>
            <w:r>
              <w:rPr>
                <w:b w:val="false"/>
                <w:bCs w:val="false"/>
                <w:color w:val="1F2937"/>
                <w:sz w:val="19"/>
                <w:szCs w:val="19"/>
              </w:rPr>
              <w:t xml:space="preserve">Dépend de l'indexation du moteur</w:t>
            </w:r>
          </w:p>
        </w:tc>
        <w:tc>
          <w:tcPr>
            <w:tcW w:type="dxa" w:w="2620"/>
            <w:shd w:fill="FFFFFF" w:val="clear"/>
            <w:tcMar>
              <w:top w:type="dxa" w:w="100"/>
              <w:left w:type="dxa" w:w="120"/>
              <w:bottom w:type="dxa" w:w="100"/>
              <w:right w:type="dxa" w:w="120"/>
            </w:tcMar>
          </w:tcPr>
          <w:p>
            <w:r>
              <w:rPr>
                <w:b w:val="false"/>
                <w:bCs w:val="false"/>
                <w:color w:val="1F2937"/>
                <w:sz w:val="19"/>
                <w:szCs w:val="19"/>
              </w:rPr>
              <w:t xml:space="preserve">Nécessite un ré-entraînement du modèle</w:t>
            </w:r>
          </w:p>
        </w:tc>
        <w:tc>
          <w:tcPr>
            <w:tcW w:type="dxa" w:w="2620"/>
            <w:shd w:fill="FFFFFF" w:val="clear"/>
            <w:tcMar>
              <w:top w:type="dxa" w:w="100"/>
              <w:left w:type="dxa" w:w="120"/>
              <w:bottom w:type="dxa" w:w="100"/>
              <w:right w:type="dxa" w:w="120"/>
            </w:tcMar>
          </w:tcPr>
          <w:p>
            <w:r>
              <w:rPr>
                <w:b w:val="false"/>
                <w:bCs w:val="false"/>
                <w:color w:val="1F2937"/>
                <w:sz w:val="19"/>
                <w:szCs w:val="19"/>
              </w:rPr>
              <w:t xml:space="preserve">Il suffit d'ajouter un document à la base</w:t>
            </w:r>
          </w:p>
        </w:tc>
      </w:tr>
    </w:tbl>
    <w:p>
      <w:pPr>
        <w:pStyle w:val="Heading2"/>
        <w:spacing w:after="140" w:before="320"/>
      </w:pPr>
      <w:r>
        <w:rPr>
          <w:b/>
          <w:bCs/>
          <w:color w:val="10263F"/>
          <w:sz w:val="23"/>
          <w:szCs w:val="23"/>
        </w:rPr>
        <w:t xml:space="preserve">1.4 Comprendre le score de similarité</w:t>
      </w:r>
    </w:p>
    <w:p>
      <w:pPr>
        <w:spacing w:after="160" w:line="300"/>
      </w:pPr>
      <w:r>
        <w:rPr>
          <w:b w:val="false"/>
          <w:bCs w:val="false"/>
          <w:i w:val="false"/>
          <w:iCs w:val="false"/>
          <w:color w:val="1F2937"/>
          <w:sz w:val="21"/>
          <w:szCs w:val="21"/>
        </w:rPr>
        <w:t xml:space="preserve">Chaque document, et chaque question posée, est transformé en une « empreinte numérique » (un embedding) qui capture le sens du texte, pas seulement ses mots exacts. Le score de similarité, affiché entre 0 et 100 %, mesure à quel point la question et un morceau de document ont un sens proche.</w:t>
      </w:r>
    </w:p>
    <w:p>
      <w:pPr>
        <w:spacing w:after="160" w:line="300"/>
      </w:pPr>
      <w:r>
        <w:rPr>
          <w:b w:val="false"/>
          <w:bCs w:val="false"/>
          <w:i w:val="false"/>
          <w:iCs w:val="false"/>
          <w:color w:val="1F2937"/>
          <w:sz w:val="21"/>
          <w:szCs w:val="21"/>
        </w:rPr>
        <w:t xml:space="preserve">Un seuil de similarité (appelé « match_threshold » côté technique) est appliqué avant même que le modèle de langage ne voie quoi que ce soit : seuls les morceaux dont le score dépasse ce seuil sont autorisés à remonter — en dessous, ils restent invisibles pour le système.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5040"/>
        <w:gridCol w:w="3024"/>
      </w:tblGrid>
      <w:tr>
        <w:tc>
          <w:tcPr>
            <w:tcW w:type="dxa" w:w="2016"/>
            <w:shd w:fill="10263F" w:val="clear"/>
            <w:tcMar>
              <w:top w:type="dxa" w:w="100"/>
              <w:left w:type="dxa" w:w="120"/>
              <w:bottom w:type="dxa" w:w="100"/>
              <w:right w:type="dxa" w:w="120"/>
            </w:tcMar>
          </w:tcPr>
          <w:p>
            <w:r>
              <w:rPr>
                <w:b/>
                <w:bCs/>
                <w:color w:val="FFFFFF"/>
                <w:sz w:val="18"/>
                <w:szCs w:val="18"/>
              </w:rPr>
              <w:t xml:space="preserve">SCORE</w:t>
            </w:r>
          </w:p>
        </w:tc>
        <w:tc>
          <w:tcPr>
            <w:tcW w:type="dxa" w:w="5040"/>
            <w:shd w:fill="10263F" w:val="clear"/>
            <w:tcMar>
              <w:top w:type="dxa" w:w="100"/>
              <w:left w:type="dxa" w:w="120"/>
              <w:bottom w:type="dxa" w:w="100"/>
              <w:right w:type="dxa" w:w="120"/>
            </w:tcMar>
          </w:tcPr>
          <w:p>
            <w:r>
              <w:rPr>
                <w:b/>
                <w:bCs/>
                <w:color w:val="FFFFFF"/>
                <w:sz w:val="18"/>
                <w:szCs w:val="18"/>
              </w:rPr>
              <w:t xml:space="preserve">CE QUE ÇA VEUT DIRE</w:t>
            </w:r>
          </w:p>
        </w:tc>
        <w:tc>
          <w:tcPr>
            <w:tcW w:type="dxa" w:w="3024"/>
            <w:shd w:fill="10263F" w:val="clear"/>
            <w:tcMar>
              <w:top w:type="dxa" w:w="100"/>
              <w:left w:type="dxa" w:w="120"/>
              <w:bottom w:type="dxa" w:w="100"/>
              <w:right w:type="dxa" w:w="120"/>
            </w:tcMar>
          </w:tcPr>
          <w:p>
            <w:r>
              <w:rPr>
                <w:b/>
                <w:bCs/>
                <w:color w:val="FFFFFF"/>
                <w:sz w:val="18"/>
                <w:szCs w:val="18"/>
              </w:rPr>
              <w:t xml:space="preserve">RÉPONSE UTILISABLE ?</w:t>
            </w:r>
          </w:p>
        </w:tc>
      </w:tr>
      <w:tr>
        <w:tc>
          <w:tcPr>
            <w:tcW w:type="dxa" w:w="2016"/>
            <w:shd w:fill="FFFFFF" w:val="clear"/>
            <w:tcMar>
              <w:top w:type="dxa" w:w="100"/>
              <w:left w:type="dxa" w:w="120"/>
              <w:bottom w:type="dxa" w:w="100"/>
              <w:right w:type="dxa" w:w="120"/>
            </w:tcMar>
          </w:tcPr>
          <w:p>
            <w:r>
              <w:rPr>
                <w:b w:val="false"/>
                <w:bCs w:val="false"/>
                <w:color w:val="1F2937"/>
                <w:sz w:val="19"/>
                <w:szCs w:val="19"/>
              </w:rPr>
              <w:t xml:space="preserve">90-100 %</w:t>
            </w:r>
          </w:p>
        </w:tc>
        <w:tc>
          <w:tcPr>
            <w:tcW w:type="dxa" w:w="5040"/>
            <w:shd w:fill="FFFFFF" w:val="clear"/>
            <w:tcMar>
              <w:top w:type="dxa" w:w="100"/>
              <w:left w:type="dxa" w:w="120"/>
              <w:bottom w:type="dxa" w:w="100"/>
              <w:right w:type="dxa" w:w="120"/>
            </w:tcMar>
          </w:tcPr>
          <w:p>
            <w:r>
              <w:rPr>
                <w:b w:val="false"/>
                <w:bCs w:val="false"/>
                <w:color w:val="1F2937"/>
                <w:sz w:val="19"/>
                <w:szCs w:val="19"/>
              </w:rPr>
              <w:t xml:space="preserve">Quasi doublon du texte de la question</w:t>
            </w:r>
          </w:p>
        </w:tc>
        <w:tc>
          <w:tcPr>
            <w:tcW w:type="dxa" w:w="3024"/>
            <w:shd w:fill="FFFFFF" w:val="clear"/>
            <w:tcMar>
              <w:top w:type="dxa" w:w="100"/>
              <w:left w:type="dxa" w:w="120"/>
              <w:bottom w:type="dxa" w:w="100"/>
              <w:right w:type="dxa" w:w="120"/>
            </w:tcMar>
          </w:tcPr>
          <w:p>
            <w:r>
              <w:rPr>
                <w:b w:val="false"/>
                <w:bCs w:val="false"/>
                <w:color w:val="1F2937"/>
                <w:sz w:val="19"/>
                <w:szCs w:val="19"/>
              </w:rPr>
              <w:t xml:space="preserve">Oui, quasi certain</w:t>
            </w:r>
          </w:p>
        </w:tc>
      </w:tr>
      <w:tr>
        <w:tc>
          <w:tcPr>
            <w:tcW w:type="dxa" w:w="2016"/>
            <w:shd w:fill="F4F6F9" w:val="clear"/>
            <w:tcMar>
              <w:top w:type="dxa" w:w="100"/>
              <w:left w:type="dxa" w:w="120"/>
              <w:bottom w:type="dxa" w:w="100"/>
              <w:right w:type="dxa" w:w="120"/>
            </w:tcMar>
          </w:tcPr>
          <w:p>
            <w:r>
              <w:rPr>
                <w:b w:val="false"/>
                <w:bCs w:val="false"/>
                <w:color w:val="1F2937"/>
                <w:sz w:val="19"/>
                <w:szCs w:val="19"/>
              </w:rPr>
              <w:t xml:space="preserve">75-90 %</w:t>
            </w:r>
          </w:p>
        </w:tc>
        <w:tc>
          <w:tcPr>
            <w:tcW w:type="dxa" w:w="5040"/>
            <w:shd w:fill="F4F6F9" w:val="clear"/>
            <w:tcMar>
              <w:top w:type="dxa" w:w="100"/>
              <w:left w:type="dxa" w:w="120"/>
              <w:bottom w:type="dxa" w:w="100"/>
              <w:right w:type="dxa" w:w="120"/>
            </w:tcMar>
          </w:tcPr>
          <w:p>
            <w:r>
              <w:rPr>
                <w:b w:val="false"/>
                <w:bCs w:val="false"/>
                <w:color w:val="1F2937"/>
                <w:sz w:val="19"/>
                <w:szCs w:val="19"/>
              </w:rPr>
              <w:t xml:space="preserve">Même sujet précis</w:t>
            </w:r>
          </w:p>
        </w:tc>
        <w:tc>
          <w:tcPr>
            <w:tcW w:type="dxa" w:w="3024"/>
            <w:shd w:fill="F4F6F9" w:val="clear"/>
            <w:tcMar>
              <w:top w:type="dxa" w:w="100"/>
              <w:left w:type="dxa" w:w="120"/>
              <w:bottom w:type="dxa" w:w="100"/>
              <w:right w:type="dxa" w:w="120"/>
            </w:tcMar>
          </w:tcPr>
          <w:p>
            <w:r>
              <w:rPr>
                <w:b w:val="false"/>
                <w:bCs w:val="false"/>
                <w:color w:val="1F2937"/>
                <w:sz w:val="19"/>
                <w:szCs w:val="19"/>
              </w:rPr>
              <w:t xml:space="preserve">Oui, généralement</w:t>
            </w:r>
          </w:p>
        </w:tc>
      </w:tr>
      <w:tr>
        <w:tc>
          <w:tcPr>
            <w:tcW w:type="dxa" w:w="2016"/>
            <w:shd w:fill="FFFFFF" w:val="clear"/>
            <w:tcMar>
              <w:top w:type="dxa" w:w="100"/>
              <w:left w:type="dxa" w:w="120"/>
              <w:bottom w:type="dxa" w:w="100"/>
              <w:right w:type="dxa" w:w="120"/>
            </w:tcMar>
          </w:tcPr>
          <w:p>
            <w:r>
              <w:rPr>
                <w:b w:val="false"/>
                <w:bCs w:val="false"/>
                <w:color w:val="1F2937"/>
                <w:sz w:val="19"/>
                <w:szCs w:val="19"/>
              </w:rPr>
              <w:t xml:space="preserve">60-75 %</w:t>
            </w:r>
          </w:p>
        </w:tc>
        <w:tc>
          <w:tcPr>
            <w:tcW w:type="dxa" w:w="5040"/>
            <w:shd w:fill="FFFFFF" w:val="clear"/>
            <w:tcMar>
              <w:top w:type="dxa" w:w="100"/>
              <w:left w:type="dxa" w:w="120"/>
              <w:bottom w:type="dxa" w:w="100"/>
              <w:right w:type="dxa" w:w="120"/>
            </w:tcMar>
          </w:tcPr>
          <w:p>
            <w:r>
              <w:rPr>
                <w:b w:val="false"/>
                <w:bCs w:val="false"/>
                <w:color w:val="1F2937"/>
                <w:sz w:val="19"/>
                <w:szCs w:val="19"/>
              </w:rPr>
              <w:t xml:space="preserve">Sujet lié mais pas forcément la question exacte</w:t>
            </w:r>
          </w:p>
        </w:tc>
        <w:tc>
          <w:tcPr>
            <w:tcW w:type="dxa" w:w="3024"/>
            <w:shd w:fill="FFFFFF" w:val="clear"/>
            <w:tcMar>
              <w:top w:type="dxa" w:w="100"/>
              <w:left w:type="dxa" w:w="120"/>
              <w:bottom w:type="dxa" w:w="100"/>
              <w:right w:type="dxa" w:w="120"/>
            </w:tcMar>
          </w:tcPr>
          <w:p>
            <w:r>
              <w:rPr>
                <w:b w:val="false"/>
                <w:bCs w:val="false"/>
                <w:color w:val="1F2937"/>
                <w:sz w:val="19"/>
                <w:szCs w:val="19"/>
              </w:rPr>
              <w:t xml:space="preserve">Parfois</w:t>
            </w:r>
          </w:p>
        </w:tc>
      </w:tr>
      <w:tr>
        <w:tc>
          <w:tcPr>
            <w:tcW w:type="dxa" w:w="2016"/>
            <w:shd w:fill="F4F6F9" w:val="clear"/>
            <w:tcMar>
              <w:top w:type="dxa" w:w="100"/>
              <w:left w:type="dxa" w:w="120"/>
              <w:bottom w:type="dxa" w:w="100"/>
              <w:right w:type="dxa" w:w="120"/>
            </w:tcMar>
          </w:tcPr>
          <w:p>
            <w:r>
              <w:rPr>
                <w:b w:val="false"/>
                <w:bCs w:val="false"/>
                <w:color w:val="1F2937"/>
                <w:sz w:val="19"/>
                <w:szCs w:val="19"/>
              </w:rPr>
              <w:t xml:space="preserve">40-60 %</w:t>
            </w:r>
          </w:p>
        </w:tc>
        <w:tc>
          <w:tcPr>
            <w:tcW w:type="dxa" w:w="5040"/>
            <w:shd w:fill="F4F6F9" w:val="clear"/>
            <w:tcMar>
              <w:top w:type="dxa" w:w="100"/>
              <w:left w:type="dxa" w:w="120"/>
              <w:bottom w:type="dxa" w:w="100"/>
              <w:right w:type="dxa" w:w="120"/>
            </w:tcMar>
          </w:tcPr>
          <w:p>
            <w:r>
              <w:rPr>
                <w:b w:val="false"/>
                <w:bCs w:val="false"/>
                <w:color w:val="1F2937"/>
                <w:sz w:val="19"/>
                <w:szCs w:val="19"/>
              </w:rPr>
              <w:t xml:space="preserve">Même thématique large, réponse improbable</w:t>
            </w:r>
          </w:p>
        </w:tc>
        <w:tc>
          <w:tcPr>
            <w:tcW w:type="dxa" w:w="3024"/>
            <w:shd w:fill="F4F6F9" w:val="clear"/>
            <w:tcMar>
              <w:top w:type="dxa" w:w="100"/>
              <w:left w:type="dxa" w:w="120"/>
              <w:bottom w:type="dxa" w:w="100"/>
              <w:right w:type="dxa" w:w="120"/>
            </w:tcMar>
          </w:tcPr>
          <w:p>
            <w:r>
              <w:rPr>
                <w:b w:val="false"/>
                <w:bCs w:val="false"/>
                <w:color w:val="1F2937"/>
                <w:sz w:val="19"/>
                <w:szCs w:val="19"/>
              </w:rPr>
              <w:t xml:space="preserve">Rarement</w:t>
            </w:r>
          </w:p>
        </w:tc>
      </w:tr>
      <w:tr>
        <w:tc>
          <w:tcPr>
            <w:tcW w:type="dxa" w:w="2016"/>
            <w:shd w:fill="FFFFFF" w:val="clear"/>
            <w:tcMar>
              <w:top w:type="dxa" w:w="100"/>
              <w:left w:type="dxa" w:w="120"/>
              <w:bottom w:type="dxa" w:w="100"/>
              <w:right w:type="dxa" w:w="120"/>
            </w:tcMar>
          </w:tcPr>
          <w:p>
            <w:r>
              <w:rPr>
                <w:b w:val="false"/>
                <w:bCs w:val="false"/>
                <w:color w:val="1F2937"/>
                <w:sz w:val="19"/>
                <w:szCs w:val="19"/>
              </w:rPr>
              <w:t xml:space="preserve">&lt; 40 %</w:t>
            </w:r>
          </w:p>
        </w:tc>
        <w:tc>
          <w:tcPr>
            <w:tcW w:type="dxa" w:w="5040"/>
            <w:shd w:fill="FFFFFF" w:val="clear"/>
            <w:tcMar>
              <w:top w:type="dxa" w:w="100"/>
              <w:left w:type="dxa" w:w="120"/>
              <w:bottom w:type="dxa" w:w="100"/>
              <w:right w:type="dxa" w:w="120"/>
            </w:tcMar>
          </w:tcPr>
          <w:p>
            <w:r>
              <w:rPr>
                <w:b w:val="false"/>
                <w:bCs w:val="false"/>
                <w:color w:val="1F2937"/>
                <w:sz w:val="19"/>
                <w:szCs w:val="19"/>
              </w:rPr>
              <w:t xml:space="preserve">Bruit, pas de rapport réel</w:t>
            </w:r>
          </w:p>
        </w:tc>
        <w:tc>
          <w:tcPr>
            <w:tcW w:type="dxa" w:w="3024"/>
            <w:shd w:fill="FFFFFF" w:val="clear"/>
            <w:tcMar>
              <w:top w:type="dxa" w:w="100"/>
              <w:left w:type="dxa" w:w="120"/>
              <w:bottom w:type="dxa" w:w="100"/>
              <w:right w:type="dxa" w:w="120"/>
            </w:tcMar>
          </w:tcPr>
          <w:p>
            <w:r>
              <w:rPr>
                <w:b w:val="false"/>
                <w:bCs w:val="false"/>
                <w:color w:val="1F2937"/>
                <w:sz w:val="19"/>
                <w:szCs w:val="19"/>
              </w:rPr>
              <w:t xml:space="preserve">Non</w:t>
            </w:r>
          </w:p>
        </w:tc>
      </w:tr>
    </w:tbl>
    <w:p>
      <w:pPr>
        <w:pBdr>
          <w:left w:val="single" w:color="1E8A99" w:sz="12" w:space="8"/>
        </w:pBdr>
        <w:spacing w:after="200" w:before="100"/>
        <w:ind w:left="260"/>
      </w:pPr>
      <w:r>
        <w:rPr>
          <w:i/>
          <w:iCs/>
          <w:color w:val="6B7280"/>
          <w:sz w:val="20"/>
          <w:szCs w:val="20"/>
        </w:rPr>
        <w:t xml:space="preserve">Point important : un score affiché ne garantit pas une réponse utile. Un système RAG bien conçu reste honnête — si le contenu réel ne correspond pas assez à la question, l'IA répond « je n'ai pas trouvé cette information » plutôt que d'inventer, même quand une source apparaît dans la liste.</w:t>
      </w:r>
    </w:p>
    <w:p>
      <w:r>
        <w:br w:type="page"/>
      </w:r>
    </w:p>
    <w:p>
      <w:pPr>
        <w:pStyle w:val="Heading1"/>
        <w:pBdr>
          <w:bottom w:val="single" w:color="1E8A99" w:sz="8" w:space="6"/>
        </w:pBdr>
        <w:spacing w:after="200" w:before="480"/>
      </w:pPr>
      <w:r>
        <w:rPr>
          <w:b/>
          <w:bCs/>
          <w:color w:val="10263F"/>
          <w:sz w:val="30"/>
          <w:szCs w:val="30"/>
        </w:rPr>
        <w:t xml:space="preserve">Partie 2 — Le cas d'usage TransferAI Africa</w:t>
      </w:r>
    </w:p>
    <w:p>
      <w:pPr>
        <w:spacing w:after="160" w:line="300"/>
      </w:pPr>
      <w:r>
        <w:rPr>
          <w:b w:val="false"/>
          <w:bCs w:val="false"/>
          <w:i w:val="false"/>
          <w:iCs w:val="false"/>
          <w:color w:val="1F2937"/>
          <w:sz w:val="21"/>
          <w:szCs w:val="21"/>
        </w:rPr>
        <w:t xml:space="preserve">Cette partie décrit un système RAG réellement construit et exploité en production par TransferAI Africa depuis juillet 2026 — non pas comme un exemple théorique, mais comme un cas de référence reproductible par toute organisation disposant d'une documentation interne, quel que soit son secteur.</w:t>
      </w:r>
    </w:p>
    <w:p>
      <w:pPr>
        <w:pStyle w:val="Heading2"/>
        <w:spacing w:after="140" w:before="320"/>
      </w:pPr>
      <w:r>
        <w:rPr>
          <w:b/>
          <w:bCs/>
          <w:color w:val="10263F"/>
          <w:sz w:val="23"/>
          <w:szCs w:val="23"/>
        </w:rPr>
        <w:t xml:space="preserve">2.1 Le problème rencontré</w:t>
      </w:r>
    </w:p>
    <w:p>
      <w:pPr>
        <w:spacing w:after="160" w:line="300"/>
      </w:pPr>
      <w:r>
        <w:rPr>
          <w:b w:val="false"/>
          <w:bCs w:val="false"/>
          <w:i w:val="false"/>
          <w:iCs w:val="false"/>
          <w:color w:val="1F2937"/>
          <w:sz w:val="21"/>
          <w:szCs w:val="21"/>
        </w:rPr>
        <w:t xml:space="preserve">TransferAI Africa accompagne des entreprises africaines dans leur transition vers l'intelligence artificielle. Comme beaucoup d'organisations en croissance rapide, l'équipe faisait face à un défi commun : des centaines de documents internes — procédures, guides, réglementations, decks sectoriels — dispersés sur des drives, impossibles à retrouver rapidement.</w:t>
      </w:r>
    </w:p>
    <w:p>
      <w:pPr>
        <w:pBdr>
          <w:left w:val="single" w:color="1E8A99" w:sz="12" w:space="8"/>
        </w:pBdr>
        <w:spacing w:after="200" w:before="100"/>
        <w:ind w:left="260"/>
      </w:pPr>
      <w:r>
        <w:rPr>
          <w:i/>
          <w:iCs/>
          <w:color w:val="6B7280"/>
          <w:sz w:val="20"/>
          <w:szCs w:val="20"/>
        </w:rPr>
        <w:t xml:space="preserve">Mesuré concrètement chez TransferAI : les consultants perdaient en moyenne 2 heures par jour à chercher des informations dans leurs propres documents, soit environ 30 minutes perdues à chaque recherche.</w:t>
      </w:r>
    </w:p>
    <w:p>
      <w:pPr>
        <w:pStyle w:val="Heading2"/>
        <w:spacing w:after="140" w:before="320"/>
      </w:pPr>
      <w:r>
        <w:rPr>
          <w:b/>
          <w:bCs/>
          <w:color w:val="10263F"/>
          <w:sz w:val="23"/>
          <w:szCs w:val="23"/>
        </w:rPr>
        <w:t xml:space="preserve">2.2 La solution construite : les éléments du workflow</w:t>
      </w:r>
    </w:p>
    <w:p>
      <w:pPr>
        <w:spacing w:after="160" w:line="300"/>
      </w:pPr>
      <w:r>
        <w:rPr>
          <w:b w:val="false"/>
          <w:bCs w:val="false"/>
          <w:i w:val="false"/>
          <w:iCs w:val="false"/>
          <w:color w:val="1F2937"/>
          <w:sz w:val="21"/>
          <w:szCs w:val="21"/>
        </w:rPr>
        <w:t xml:space="preserve">Le système repose sur quatre briques qui fonctionnent en tandem : une alimente la base de connaissances, les trois autres l'interrogent — chacune pour un usage différent.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c>
          <w:tcPr>
            <w:tcW w:type="dxa" w:w="3024"/>
            <w:shd w:fill="10263F" w:val="clear"/>
            <w:tcMar>
              <w:top w:type="dxa" w:w="100"/>
              <w:left w:type="dxa" w:w="120"/>
              <w:bottom w:type="dxa" w:w="100"/>
              <w:right w:type="dxa" w:w="120"/>
            </w:tcMar>
          </w:tcPr>
          <w:p>
            <w:r>
              <w:rPr>
                <w:b/>
                <w:bCs/>
                <w:color w:val="FFFFFF"/>
                <w:sz w:val="18"/>
                <w:szCs w:val="18"/>
              </w:rPr>
              <w:t xml:space="preserve">ÉLÉMENT DU WORKFLOW</w:t>
            </w:r>
          </w:p>
        </w:tc>
        <w:tc>
          <w:tcPr>
            <w:tcW w:type="dxa" w:w="7056"/>
            <w:shd w:fill="10263F" w:val="clear"/>
            <w:tcMar>
              <w:top w:type="dxa" w:w="100"/>
              <w:left w:type="dxa" w:w="120"/>
              <w:bottom w:type="dxa" w:w="100"/>
              <w:right w:type="dxa" w:w="120"/>
            </w:tcMar>
          </w:tcPr>
          <w:p>
            <w:r>
              <w:rPr>
                <w:b/>
                <w:bCs/>
                <w:color w:val="FFFFFF"/>
                <w:sz w:val="18"/>
                <w:szCs w:val="18"/>
              </w:rPr>
              <w:t xml:space="preserve">RÔLE</w:t>
            </w:r>
          </w:p>
        </w:tc>
      </w:tr>
      <w:tr>
        <w:tc>
          <w:tcPr>
            <w:tcW w:type="dxa" w:w="3024"/>
            <w:shd w:fill="FFFFFF" w:val="clear"/>
            <w:tcMar>
              <w:top w:type="dxa" w:w="100"/>
              <w:left w:type="dxa" w:w="120"/>
              <w:bottom w:type="dxa" w:w="100"/>
              <w:right w:type="dxa" w:w="120"/>
            </w:tcMar>
          </w:tcPr>
          <w:p>
            <w:r>
              <w:rPr>
                <w:b w:val="false"/>
                <w:bCs w:val="false"/>
                <w:color w:val="1F2937"/>
                <w:sz w:val="19"/>
                <w:szCs w:val="19"/>
              </w:rPr>
              <w:t xml:space="preserve">Moteur d'ingestion documentaire</w:t>
            </w:r>
          </w:p>
        </w:tc>
        <w:tc>
          <w:tcPr>
            <w:tcW w:type="dxa" w:w="7056"/>
            <w:shd w:fill="FFFFFF" w:val="clear"/>
            <w:tcMar>
              <w:top w:type="dxa" w:w="100"/>
              <w:left w:type="dxa" w:w="120"/>
              <w:bottom w:type="dxa" w:w="100"/>
              <w:right w:type="dxa" w:w="120"/>
            </w:tcMar>
          </w:tcPr>
          <w:p>
            <w:r>
              <w:rPr>
                <w:b w:val="false"/>
                <w:bCs w:val="false"/>
                <w:color w:val="1F2937"/>
                <w:sz w:val="19"/>
                <w:szCs w:val="19"/>
              </w:rPr>
              <w:t xml:space="preserve">Parcourt les dossiers de documents de référence toutes les 6 heures, ne conserve que les fichiers exploitables en texte, les découpe en chunks et les transforme en vecteurs stockés dans une base de données vectorielle.</w:t>
            </w:r>
          </w:p>
        </w:tc>
      </w:tr>
      <w:tr>
        <w:tc>
          <w:tcPr>
            <w:tcW w:type="dxa" w:w="3024"/>
            <w:shd w:fill="F4F6F9" w:val="clear"/>
            <w:tcMar>
              <w:top w:type="dxa" w:w="100"/>
              <w:left w:type="dxa" w:w="120"/>
              <w:bottom w:type="dxa" w:w="100"/>
              <w:right w:type="dxa" w:w="120"/>
            </w:tcMar>
          </w:tcPr>
          <w:p>
            <w:r>
              <w:rPr>
                <w:b w:val="false"/>
                <w:bCs w:val="false"/>
                <w:color w:val="1F2937"/>
                <w:sz w:val="19"/>
                <w:szCs w:val="19"/>
              </w:rPr>
              <w:t xml:space="preserve">Moteur de recherche — canal externe</w:t>
            </w:r>
          </w:p>
        </w:tc>
        <w:tc>
          <w:tcPr>
            <w:tcW w:type="dxa" w:w="7056"/>
            <w:shd w:fill="F4F6F9" w:val="clear"/>
            <w:tcMar>
              <w:top w:type="dxa" w:w="100"/>
              <w:left w:type="dxa" w:w="120"/>
              <w:bottom w:type="dxa" w:w="100"/>
              <w:right w:type="dxa" w:w="120"/>
            </w:tcMar>
          </w:tcPr>
          <w:p>
            <w:r>
              <w:rPr>
                <w:b w:val="false"/>
                <w:bCs w:val="false"/>
                <w:color w:val="1F2937"/>
                <w:sz w:val="19"/>
                <w:szCs w:val="19"/>
              </w:rPr>
              <w:t xml:space="preserve">Répond en temps réel aux questions de prospects et clients (e-mail, chat, WhatsApp) ; anonymise les données sensibles avant tout appel à l'IA, et escalade vers un conseiller humain si aucune réponse fiable n'est trouvée.</w:t>
            </w:r>
          </w:p>
        </w:tc>
      </w:tr>
      <w:tr>
        <w:tc>
          <w:tcPr>
            <w:tcW w:type="dxa" w:w="3024"/>
            <w:shd w:fill="FFFFFF" w:val="clear"/>
            <w:tcMar>
              <w:top w:type="dxa" w:w="100"/>
              <w:left w:type="dxa" w:w="120"/>
              <w:bottom w:type="dxa" w:w="100"/>
              <w:right w:type="dxa" w:w="120"/>
            </w:tcMar>
          </w:tcPr>
          <w:p>
            <w:r>
              <w:rPr>
                <w:b w:val="false"/>
                <w:bCs w:val="false"/>
                <w:color w:val="1F2937"/>
                <w:sz w:val="19"/>
                <w:szCs w:val="19"/>
              </w:rPr>
              <w:t xml:space="preserve">Moteur de recherche — usage interne</w:t>
            </w:r>
          </w:p>
        </w:tc>
        <w:tc>
          <w:tcPr>
            <w:tcW w:type="dxa" w:w="7056"/>
            <w:shd w:fill="FFFFFF" w:val="clear"/>
            <w:tcMar>
              <w:top w:type="dxa" w:w="100"/>
              <w:left w:type="dxa" w:w="120"/>
              <w:bottom w:type="dxa" w:w="100"/>
              <w:right w:type="dxa" w:w="120"/>
            </w:tcMar>
          </w:tcPr>
          <w:p>
            <w:r>
              <w:rPr>
                <w:b w:val="false"/>
                <w:bCs w:val="false"/>
                <w:color w:val="1F2937"/>
                <w:sz w:val="19"/>
                <w:szCs w:val="19"/>
              </w:rPr>
              <w:t xml:space="preserve">Même moteur de recherche, réservé aux collaborateurs, sans anonymisation ni escalade automatique — un usage d'équipe plus direct.</w:t>
            </w:r>
          </w:p>
        </w:tc>
      </w:tr>
      <w:tr>
        <w:tc>
          <w:tcPr>
            <w:tcW w:type="dxa" w:w="3024"/>
            <w:shd w:fill="F4F6F9" w:val="clear"/>
            <w:tcMar>
              <w:top w:type="dxa" w:w="100"/>
              <w:left w:type="dxa" w:w="120"/>
              <w:bottom w:type="dxa" w:w="100"/>
              <w:right w:type="dxa" w:w="120"/>
            </w:tcMar>
          </w:tcPr>
          <w:p>
            <w:r>
              <w:rPr>
                <w:b w:val="false"/>
                <w:bCs w:val="false"/>
                <w:color w:val="1F2937"/>
                <w:sz w:val="19"/>
                <w:szCs w:val="19"/>
              </w:rPr>
              <w:t xml:space="preserve">Interface web</w:t>
            </w:r>
          </w:p>
        </w:tc>
        <w:tc>
          <w:tcPr>
            <w:tcW w:type="dxa" w:w="7056"/>
            <w:shd w:fill="F4F6F9" w:val="clear"/>
            <w:tcMar>
              <w:top w:type="dxa" w:w="100"/>
              <w:left w:type="dxa" w:w="120"/>
              <w:bottom w:type="dxa" w:w="100"/>
              <w:right w:type="dxa" w:w="120"/>
            </w:tcMar>
          </w:tcPr>
          <w:p>
            <w:r>
              <w:rPr>
                <w:b w:val="false"/>
                <w:bCs w:val="false"/>
                <w:color w:val="1F2937"/>
                <w:sz w:val="19"/>
                <w:szCs w:val="19"/>
              </w:rPr>
              <w:t xml:space="preserve">Une page accessible à tout collaborateur non technique : poser une question, obtenir une réponse sourcée avec le score de similarité de chaque document utilisé.</w:t>
            </w:r>
          </w:p>
        </w:tc>
      </w:tr>
    </w:tbl>
    <w:p>
      <w:pPr>
        <w:pStyle w:val="Heading2"/>
        <w:spacing w:after="140" w:before="320"/>
      </w:pPr>
      <w:r>
        <w:rPr>
          <w:b/>
          <w:bCs/>
          <w:color w:val="10263F"/>
          <w:sz w:val="23"/>
          <w:szCs w:val="23"/>
        </w:rPr>
        <w:t xml:space="preserve">2.3 Explication détaillée du workflow, étape par étape</w:t>
      </w:r>
    </w:p>
    <w:p>
      <w:pPr>
        <w:spacing w:after="100" w:before="200"/>
      </w:pPr>
      <w:r>
        <w:rPr>
          <w:b/>
          <w:bCs/>
          <w:color w:val="1E8A99"/>
          <w:sz w:val="21"/>
          <w:szCs w:val="21"/>
        </w:rPr>
        <w:t xml:space="preserve">Alimentation de la base de connaissances (cycle automatique)</w:t>
      </w:r>
    </w:p>
    <w:p>
      <w:pPr>
        <w:pStyle w:val="ListParagraph"/>
        <w:numPr>
          <w:ilvl w:val="0"/>
          <w:numId w:val="3"/>
        </w:numPr>
        <w:spacing w:after="90"/>
      </w:pPr>
      <w:r>
        <w:rPr>
          <w:color w:val="1F2937"/>
          <w:sz w:val="21"/>
          <w:szCs w:val="21"/>
        </w:rPr>
        <w:t xml:space="preserve">Le système parcourt les dossiers de documents de référence, organisés par thématique (procédures internes, réglementation, guides, decks sectoriels…).</w:t>
      </w:r>
    </w:p>
    <w:p>
      <w:pPr>
        <w:pStyle w:val="ListParagraph"/>
        <w:numPr>
          <w:ilvl w:val="0"/>
          <w:numId w:val="3"/>
        </w:numPr>
        <w:spacing w:after="90"/>
      </w:pPr>
      <w:r>
        <w:rPr>
          <w:color w:val="1F2937"/>
          <w:sz w:val="21"/>
          <w:szCs w:val="21"/>
        </w:rPr>
        <w:t xml:space="preserve">Il liste tous les fichiers présents, et ne conserve que ceux réellement exploitables en texte — les fichiers binaires (.docx, .pdf, présentations brutes) sont écartés en amont, car leur contenu ne peut pas être extrait proprement par ce type de pipeline.</w:t>
      </w:r>
    </w:p>
    <w:p>
      <w:pPr>
        <w:pStyle w:val="ListParagraph"/>
        <w:numPr>
          <w:ilvl w:val="0"/>
          <w:numId w:val="3"/>
        </w:numPr>
        <w:spacing w:after="90"/>
      </w:pPr>
      <w:r>
        <w:rPr>
          <w:color w:val="1F2937"/>
          <w:sz w:val="21"/>
          <w:szCs w:val="21"/>
        </w:rPr>
        <w:t xml:space="preserve">Chaque document retenu est découpé en petits morceaux de texte (environ 800 caractères), avec un léger chevauchement pour ne jamais couper une idée en plein milieu.</w:t>
      </w:r>
    </w:p>
    <w:p>
      <w:pPr>
        <w:pStyle w:val="ListParagraph"/>
        <w:numPr>
          <w:ilvl w:val="0"/>
          <w:numId w:val="3"/>
        </w:numPr>
        <w:spacing w:after="90"/>
      </w:pPr>
      <w:r>
        <w:rPr>
          <w:color w:val="1F2937"/>
          <w:sz w:val="21"/>
          <w:szCs w:val="21"/>
        </w:rPr>
        <w:t xml:space="preserve">Chaque morceau est transformé en vecteur numérique (embedding) et enregistré dans la base de données vectorielle, en mettant à jour les entrées déjà existantes plutôt que de créer des doublons.</w:t>
      </w:r>
    </w:p>
    <w:p>
      <w:pPr>
        <w:spacing w:after="100" w:before="200"/>
      </w:pPr>
      <w:r>
        <w:rPr>
          <w:b/>
          <w:bCs/>
          <w:color w:val="1E8A99"/>
          <w:sz w:val="21"/>
          <w:szCs w:val="21"/>
        </w:rPr>
        <w:t xml:space="preserve">Traitement d'une question entrante (déclenché en temps réel)</w:t>
      </w:r>
    </w:p>
    <w:p>
      <w:pPr>
        <w:pStyle w:val="ListParagraph"/>
        <w:numPr>
          <w:ilvl w:val="0"/>
          <w:numId w:val="3"/>
        </w:numPr>
        <w:spacing w:after="90"/>
      </w:pPr>
      <w:r>
        <w:rPr>
          <w:color w:val="1F2937"/>
          <w:sz w:val="21"/>
          <w:szCs w:val="21"/>
        </w:rPr>
        <w:t xml:space="preserve">La question posée est reçue et transformée en vecteur numérique, de la même façon que les documents lors de l'ingestion.</w:t>
      </w:r>
    </w:p>
    <w:p>
      <w:pPr>
        <w:pStyle w:val="ListParagraph"/>
        <w:numPr>
          <w:ilvl w:val="0"/>
          <w:numId w:val="3"/>
        </w:numPr>
        <w:spacing w:after="90"/>
      </w:pPr>
      <w:r>
        <w:rPr>
          <w:color w:val="1F2937"/>
          <w:sz w:val="21"/>
          <w:szCs w:val="21"/>
        </w:rPr>
        <w:t xml:space="preserve">Le système recherche, dans la base vectorielle, les passages dont le sens est le plus proche de la question posée.</w:t>
      </w:r>
    </w:p>
    <w:p>
      <w:pPr>
        <w:pStyle w:val="ListParagraph"/>
        <w:numPr>
          <w:ilvl w:val="0"/>
          <w:numId w:val="3"/>
        </w:numPr>
        <w:spacing w:after="90"/>
      </w:pPr>
      <w:r>
        <w:rPr>
          <w:color w:val="1F2937"/>
          <w:sz w:val="21"/>
          <w:szCs w:val="21"/>
        </w:rPr>
        <w:t xml:space="preserve">Si des passages suffisamment pertinents sont trouvés, leur contenu est nettoyé de toute information personnelle sensible avant d'être transmis au modèle de langage, qui rédige une réponse claire en s'appuyant sur ces passages ; les informations réelles sont ensuite réintégrées dans la réponse finale.</w:t>
      </w:r>
    </w:p>
    <w:p>
      <w:pPr>
        <w:pStyle w:val="ListParagraph"/>
        <w:numPr>
          <w:ilvl w:val="0"/>
          <w:numId w:val="3"/>
        </w:numPr>
        <w:spacing w:after="90"/>
      </w:pPr>
      <w:r>
        <w:rPr>
          <w:color w:val="1F2937"/>
          <w:sz w:val="21"/>
          <w:szCs w:val="21"/>
        </w:rPr>
        <w:t xml:space="preserve">Si aucun passage suffisamment pertinent n'est trouvé, la question est automatiquement transmise à un conseiller humain, afin qu'aucune question ne reste sans réponse fiable.</w:t>
      </w:r>
    </w:p>
    <w:p>
      <w:pPr>
        <w:pStyle w:val="ListParagraph"/>
        <w:numPr>
          <w:ilvl w:val="0"/>
          <w:numId w:val="3"/>
        </w:numPr>
        <w:spacing w:after="90"/>
      </w:pPr>
      <w:r>
        <w:rPr>
          <w:color w:val="1F2937"/>
          <w:sz w:val="21"/>
          <w:szCs w:val="21"/>
        </w:rPr>
        <w:t xml:space="preserve">Chaque échange, qu'il ait été traité par l'IA ou escaladé à un humain, est enregistré pour garder une trace de l'activité.</w:t>
      </w:r>
    </w:p>
    <w:p>
      <w:pPr>
        <w:pStyle w:val="Heading2"/>
        <w:spacing w:after="140" w:before="320"/>
      </w:pPr>
      <w:r>
        <w:rPr>
          <w:b/>
          <w:bCs/>
          <w:color w:val="10263F"/>
          <w:sz w:val="23"/>
          <w:szCs w:val="23"/>
        </w:rPr>
        <w:t xml:space="preserve">2.4 Preuve terrain : un exemple réel testé</w:t>
      </w:r>
    </w:p>
    <w:p>
      <w:pPr>
        <w:spacing w:after="160" w:line="300"/>
      </w:pPr>
      <w:r>
        <w:rPr>
          <w:b/>
          <w:bCs/>
          <w:i w:val="false"/>
          <w:iCs w:val="false"/>
          <w:color w:val="1F2937"/>
          <w:sz w:val="21"/>
          <w:szCs w:val="21"/>
        </w:rPr>
        <w:t xml:space="preserve">Question posée en conditions réelles à la base documentaire de production TransferAI :</w:t>
      </w:r>
    </w:p>
    <w:p>
      <w:pPr>
        <w:pBdr>
          <w:left w:val="single" w:color="1E8A99" w:sz="12" w:space="8"/>
        </w:pBdr>
        <w:spacing w:after="200" w:before="100"/>
        <w:ind w:left="260"/>
      </w:pPr>
      <w:r>
        <w:rPr>
          <w:i/>
          <w:iCs/>
          <w:color w:val="6B7280"/>
          <w:sz w:val="20"/>
          <w:szCs w:val="20"/>
        </w:rPr>
        <w:t xml:space="preserve">« Quel cas d'usage IA concerne la recherche documentaire intelligente (RAG) ? »</w:t>
      </w:r>
    </w:p>
    <w:p>
      <w:pPr>
        <w:spacing w:after="160" w:line="300"/>
      </w:pPr>
      <w:r>
        <w:rPr>
          <w:b w:val="false"/>
          <w:bCs w:val="false"/>
          <w:i/>
          <w:iCs/>
          <w:color w:val="1F2937"/>
          <w:sz w:val="21"/>
          <w:szCs w:val="21"/>
        </w:rPr>
        <w:t xml:space="preserve">Réponse obtenue (score de similarité 74 %, source principale correctement identifiée et citée) : le système retrouve le bon document de référence et explique le cas d'usage — retrouver une information dans des milliers de documents en quelques secondes, avec preuve de la source, applicable de façon transversale à la gestion électronique de documents, l'archivage et de nombreuses institutions.</w:t>
      </w:r>
    </w:p>
    <w:p>
      <w:pPr>
        <w:spacing w:after="160" w:line="300"/>
      </w:pPr>
      <w:r>
        <w:rPr>
          <w:b w:val="false"/>
          <w:bCs w:val="false"/>
          <w:i/>
          <w:iCs/>
          <w:color w:val="1F2937"/>
          <w:sz w:val="21"/>
          <w:szCs w:val="21"/>
        </w:rPr>
        <w:t xml:space="preserve">Le garde-fou du système a également été vérifié sur une question totalement hors sujet (« Quelle est la météo à Abidjan demain ? ») : score de similarité 0 %, et le système a refusé de répondre plutôt que d'halluciner une réponse — c'est précisément ce comportement qui garantit la fiabilité d'un RAG bien conçu.</w:t>
      </w:r>
    </w:p>
    <w:p>
      <w:r>
        <w:br w:type="page"/>
      </w:r>
    </w:p>
    <w:p>
      <w:pPr>
        <w:pStyle w:val="Heading1"/>
        <w:pBdr>
          <w:bottom w:val="single" w:color="1E8A99" w:sz="8" w:space="6"/>
        </w:pBdr>
        <w:spacing w:after="200" w:before="480"/>
      </w:pPr>
      <w:r>
        <w:rPr>
          <w:b/>
          <w:bCs/>
          <w:color w:val="10263F"/>
          <w:sz w:val="30"/>
          <w:szCs w:val="30"/>
        </w:rPr>
        <w:t xml:space="preserve">Partie 3 — Avant / Après et retour sur investissement</w:t>
      </w:r>
    </w:p>
    <w:p>
      <w:pPr>
        <w:pStyle w:val="Heading2"/>
        <w:spacing w:after="140" w:before="320"/>
      </w:pPr>
      <w:r>
        <w:rPr>
          <w:b/>
          <w:bCs/>
          <w:color w:val="10263F"/>
          <w:sz w:val="23"/>
          <w:szCs w:val="23"/>
        </w:rPr>
        <w:t xml:space="preserve">3.1 Ce que change concrètement le RAG pour une organisation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4032"/>
        <w:gridCol w:w="4032"/>
      </w:tblGrid>
      <w:tr>
        <w:tc>
          <w:tcPr>
            <w:tcW w:type="dxa" w:w="2016"/>
            <w:shd w:fill="10263F" w:val="clear"/>
            <w:tcMar>
              <w:top w:type="dxa" w:w="100"/>
              <w:left w:type="dxa" w:w="120"/>
              <w:bottom w:type="dxa" w:w="100"/>
              <w:right w:type="dxa" w:w="120"/>
            </w:tcMar>
          </w:tcPr>
          <w:p>
            <w:r>
              <w:rPr>
                <w:b/>
                <w:bCs/>
                <w:color w:val="FFFFFF"/>
                <w:sz w:val="18"/>
                <w:szCs w:val="18"/>
              </w:rPr>
              <w:t xml:space="preserve">DIMENSION</w:t>
            </w:r>
          </w:p>
        </w:tc>
        <w:tc>
          <w:tcPr>
            <w:tcW w:type="dxa" w:w="4032"/>
            <w:shd w:fill="10263F" w:val="clear"/>
            <w:tcMar>
              <w:top w:type="dxa" w:w="100"/>
              <w:left w:type="dxa" w:w="120"/>
              <w:bottom w:type="dxa" w:w="100"/>
              <w:right w:type="dxa" w:w="120"/>
            </w:tcMar>
          </w:tcPr>
          <w:p>
            <w:r>
              <w:rPr>
                <w:b/>
                <w:bCs/>
                <w:color w:val="FFFFFF"/>
                <w:sz w:val="18"/>
                <w:szCs w:val="18"/>
              </w:rPr>
              <w:t xml:space="preserve">AVANT (sans RAG)</w:t>
            </w:r>
          </w:p>
        </w:tc>
        <w:tc>
          <w:tcPr>
            <w:tcW w:type="dxa" w:w="4032"/>
            <w:shd w:fill="10263F" w:val="clear"/>
            <w:tcMar>
              <w:top w:type="dxa" w:w="100"/>
              <w:left w:type="dxa" w:w="120"/>
              <w:bottom w:type="dxa" w:w="100"/>
              <w:right w:type="dxa" w:w="120"/>
            </w:tcMar>
          </w:tcPr>
          <w:p>
            <w:r>
              <w:rPr>
                <w:b/>
                <w:bCs/>
                <w:color w:val="FFFFFF"/>
                <w:sz w:val="18"/>
                <w:szCs w:val="18"/>
              </w:rPr>
              <w:t xml:space="preserve">APRÈS (avec RAG)</w:t>
            </w:r>
          </w:p>
        </w:tc>
      </w:tr>
      <w:tr>
        <w:tc>
          <w:tcPr>
            <w:tcW w:type="dxa" w:w="2016"/>
            <w:shd w:fill="FFFFFF" w:val="clear"/>
            <w:tcMar>
              <w:top w:type="dxa" w:w="100"/>
              <w:left w:type="dxa" w:w="120"/>
              <w:bottom w:type="dxa" w:w="100"/>
              <w:right w:type="dxa" w:w="120"/>
            </w:tcMar>
          </w:tcPr>
          <w:p>
            <w:r>
              <w:rPr>
                <w:b w:val="false"/>
                <w:bCs w:val="false"/>
                <w:color w:val="1F2937"/>
                <w:sz w:val="19"/>
                <w:szCs w:val="19"/>
              </w:rPr>
              <w:t xml:space="preserve">Recherche d'information</w:t>
            </w:r>
          </w:p>
        </w:tc>
        <w:tc>
          <w:tcPr>
            <w:tcW w:type="dxa" w:w="4032"/>
            <w:shd w:fill="FFFFFF" w:val="clear"/>
            <w:tcMar>
              <w:top w:type="dxa" w:w="100"/>
              <w:left w:type="dxa" w:w="120"/>
              <w:bottom w:type="dxa" w:w="100"/>
              <w:right w:type="dxa" w:w="120"/>
            </w:tcMar>
          </w:tcPr>
          <w:p>
            <w:r>
              <w:rPr>
                <w:b w:val="false"/>
                <w:bCs w:val="false"/>
                <w:color w:val="1F2937"/>
                <w:sz w:val="19"/>
                <w:szCs w:val="19"/>
              </w:rPr>
              <w:t xml:space="preserve">Un collaborateur perd plusieurs minutes, parfois des heures, à chercher un document ou une réponse dans des dossiers partagés, des e-mails ou la mémoire d'un collègue.</w:t>
            </w:r>
          </w:p>
        </w:tc>
        <w:tc>
          <w:tcPr>
            <w:tcW w:type="dxa" w:w="4032"/>
            <w:shd w:fill="FFFFFF" w:val="clear"/>
            <w:tcMar>
              <w:top w:type="dxa" w:w="100"/>
              <w:left w:type="dxa" w:w="120"/>
              <w:bottom w:type="dxa" w:w="100"/>
              <w:right w:type="dxa" w:w="120"/>
            </w:tcMar>
          </w:tcPr>
          <w:p>
            <w:r>
              <w:rPr>
                <w:b w:val="false"/>
                <w:bCs w:val="false"/>
                <w:color w:val="1F2937"/>
                <w:sz w:val="19"/>
                <w:szCs w:val="19"/>
              </w:rPr>
              <w:t xml:space="preserve">La réponse arrive en quelques secondes, formulée clairement et accompagnée de la source exacte utilisée.</w:t>
            </w:r>
          </w:p>
        </w:tc>
      </w:tr>
      <w:tr>
        <w:tc>
          <w:tcPr>
            <w:tcW w:type="dxa" w:w="2016"/>
            <w:shd w:fill="F4F6F9" w:val="clear"/>
            <w:tcMar>
              <w:top w:type="dxa" w:w="100"/>
              <w:left w:type="dxa" w:w="120"/>
              <w:bottom w:type="dxa" w:w="100"/>
              <w:right w:type="dxa" w:w="120"/>
            </w:tcMar>
          </w:tcPr>
          <w:p>
            <w:r>
              <w:rPr>
                <w:b w:val="false"/>
                <w:bCs w:val="false"/>
                <w:color w:val="1F2937"/>
                <w:sz w:val="19"/>
                <w:szCs w:val="19"/>
              </w:rPr>
              <w:t xml:space="preserve">Disponibilité</w:t>
            </w:r>
          </w:p>
        </w:tc>
        <w:tc>
          <w:tcPr>
            <w:tcW w:type="dxa" w:w="4032"/>
            <w:shd w:fill="F4F6F9" w:val="clear"/>
            <w:tcMar>
              <w:top w:type="dxa" w:w="100"/>
              <w:left w:type="dxa" w:w="120"/>
              <w:bottom w:type="dxa" w:w="100"/>
              <w:right w:type="dxa" w:w="120"/>
            </w:tcMar>
          </w:tcPr>
          <w:p>
            <w:r>
              <w:rPr>
                <w:b w:val="false"/>
                <w:bCs w:val="false"/>
                <w:color w:val="1F2937"/>
                <w:sz w:val="19"/>
                <w:szCs w:val="19"/>
              </w:rPr>
              <w:t xml:space="preserve">La réponse dépend de la disponibilité d'un expert humain, souvent uniquement aux heures de bureau.</w:t>
            </w:r>
          </w:p>
        </w:tc>
        <w:tc>
          <w:tcPr>
            <w:tcW w:type="dxa" w:w="4032"/>
            <w:shd w:fill="F4F6F9" w:val="clear"/>
            <w:tcMar>
              <w:top w:type="dxa" w:w="100"/>
              <w:left w:type="dxa" w:w="120"/>
              <w:bottom w:type="dxa" w:w="100"/>
              <w:right w:type="dxa" w:w="120"/>
            </w:tcMar>
          </w:tcPr>
          <w:p>
            <w:r>
              <w:rPr>
                <w:b w:val="false"/>
                <w:bCs w:val="false"/>
                <w:color w:val="1F2937"/>
                <w:sz w:val="19"/>
                <w:szCs w:val="19"/>
              </w:rPr>
              <w:t xml:space="preserve">Le système répond 24 h/24 et 7 j/7, avec escalade automatique vers un humain uniquement lorsque c'est nécessaire.</w:t>
            </w:r>
          </w:p>
        </w:tc>
      </w:tr>
      <w:tr>
        <w:tc>
          <w:tcPr>
            <w:tcW w:type="dxa" w:w="2016"/>
            <w:shd w:fill="FFFFFF" w:val="clear"/>
            <w:tcMar>
              <w:top w:type="dxa" w:w="100"/>
              <w:left w:type="dxa" w:w="120"/>
              <w:bottom w:type="dxa" w:w="100"/>
              <w:right w:type="dxa" w:w="120"/>
            </w:tcMar>
          </w:tcPr>
          <w:p>
            <w:r>
              <w:rPr>
                <w:b w:val="false"/>
                <w:bCs w:val="false"/>
                <w:color w:val="1F2937"/>
                <w:sz w:val="19"/>
                <w:szCs w:val="19"/>
              </w:rPr>
              <w:t xml:space="preserve">Cohérence des réponses</w:t>
            </w:r>
          </w:p>
        </w:tc>
        <w:tc>
          <w:tcPr>
            <w:tcW w:type="dxa" w:w="4032"/>
            <w:shd w:fill="FFFFFF" w:val="clear"/>
            <w:tcMar>
              <w:top w:type="dxa" w:w="100"/>
              <w:left w:type="dxa" w:w="120"/>
              <w:bottom w:type="dxa" w:w="100"/>
              <w:right w:type="dxa" w:w="120"/>
            </w:tcMar>
          </w:tcPr>
          <w:p>
            <w:r>
              <w:rPr>
                <w:b w:val="false"/>
                <w:bCs w:val="false"/>
                <w:color w:val="1F2937"/>
                <w:sz w:val="19"/>
                <w:szCs w:val="19"/>
              </w:rPr>
              <w:t xml:space="preserve">Deux collaborateurs différents peuvent donner deux réponses différentes à la même question.</w:t>
            </w:r>
          </w:p>
        </w:tc>
        <w:tc>
          <w:tcPr>
            <w:tcW w:type="dxa" w:w="4032"/>
            <w:shd w:fill="FFFFFF" w:val="clear"/>
            <w:tcMar>
              <w:top w:type="dxa" w:w="100"/>
              <w:left w:type="dxa" w:w="120"/>
              <w:bottom w:type="dxa" w:w="100"/>
              <w:right w:type="dxa" w:w="120"/>
            </w:tcMar>
          </w:tcPr>
          <w:p>
            <w:r>
              <w:rPr>
                <w:b w:val="false"/>
                <w:bCs w:val="false"/>
                <w:color w:val="1F2937"/>
                <w:sz w:val="19"/>
                <w:szCs w:val="19"/>
              </w:rPr>
              <w:t xml:space="preserve">La réponse s'appuie toujours sur les mêmes documents de référence : à information égale, la même question obtient une réponse cohérente.</w:t>
            </w:r>
          </w:p>
        </w:tc>
      </w:tr>
      <w:tr>
        <w:tc>
          <w:tcPr>
            <w:tcW w:type="dxa" w:w="2016"/>
            <w:shd w:fill="F4F6F9" w:val="clear"/>
            <w:tcMar>
              <w:top w:type="dxa" w:w="100"/>
              <w:left w:type="dxa" w:w="120"/>
              <w:bottom w:type="dxa" w:w="100"/>
              <w:right w:type="dxa" w:w="120"/>
            </w:tcMar>
          </w:tcPr>
          <w:p>
            <w:r>
              <w:rPr>
                <w:b w:val="false"/>
                <w:bCs w:val="false"/>
                <w:color w:val="1F2937"/>
                <w:sz w:val="19"/>
                <w:szCs w:val="19"/>
              </w:rPr>
              <w:t xml:space="preserve">Mise à jour de la connaissance</w:t>
            </w:r>
          </w:p>
        </w:tc>
        <w:tc>
          <w:tcPr>
            <w:tcW w:type="dxa" w:w="4032"/>
            <w:shd w:fill="F4F6F9" w:val="clear"/>
            <w:tcMar>
              <w:top w:type="dxa" w:w="100"/>
              <w:left w:type="dxa" w:w="120"/>
              <w:bottom w:type="dxa" w:w="100"/>
              <w:right w:type="dxa" w:w="120"/>
            </w:tcMar>
          </w:tcPr>
          <w:p>
            <w:r>
              <w:rPr>
                <w:b w:val="false"/>
                <w:bCs w:val="false"/>
                <w:color w:val="1F2937"/>
                <w:sz w:val="19"/>
                <w:szCs w:val="19"/>
              </w:rPr>
              <w:t xml:space="preserve">Toute mise à jour de procédure doit être communiquée manuellement à toute l'équipe, avec le risque que certains restent sur l'ancienne version.</w:t>
            </w:r>
          </w:p>
        </w:tc>
        <w:tc>
          <w:tcPr>
            <w:tcW w:type="dxa" w:w="4032"/>
            <w:shd w:fill="F4F6F9" w:val="clear"/>
            <w:tcMar>
              <w:top w:type="dxa" w:w="100"/>
              <w:left w:type="dxa" w:w="120"/>
              <w:bottom w:type="dxa" w:w="100"/>
              <w:right w:type="dxa" w:w="120"/>
            </w:tcMar>
          </w:tcPr>
          <w:p>
            <w:r>
              <w:rPr>
                <w:b w:val="false"/>
                <w:bCs w:val="false"/>
                <w:color w:val="1F2937"/>
                <w:sz w:val="19"/>
                <w:szCs w:val="19"/>
              </w:rPr>
              <w:t xml:space="preserve">Il suffit de déposer le document mis à jour : la nouvelle version est prise en compte automatiquement au cycle suivant.</w:t>
            </w:r>
          </w:p>
        </w:tc>
      </w:tr>
      <w:tr>
        <w:tc>
          <w:tcPr>
            <w:tcW w:type="dxa" w:w="2016"/>
            <w:shd w:fill="FFFFFF" w:val="clear"/>
            <w:tcMar>
              <w:top w:type="dxa" w:w="100"/>
              <w:left w:type="dxa" w:w="120"/>
              <w:bottom w:type="dxa" w:w="100"/>
              <w:right w:type="dxa" w:w="120"/>
            </w:tcMar>
          </w:tcPr>
          <w:p>
            <w:r>
              <w:rPr>
                <w:b w:val="false"/>
                <w:bCs w:val="false"/>
                <w:color w:val="1F2937"/>
                <w:sz w:val="19"/>
                <w:szCs w:val="19"/>
              </w:rPr>
              <w:t xml:space="preserve">Charge sur les experts</w:t>
            </w:r>
          </w:p>
        </w:tc>
        <w:tc>
          <w:tcPr>
            <w:tcW w:type="dxa" w:w="4032"/>
            <w:shd w:fill="FFFFFF" w:val="clear"/>
            <w:tcMar>
              <w:top w:type="dxa" w:w="100"/>
              <w:left w:type="dxa" w:w="120"/>
              <w:bottom w:type="dxa" w:w="100"/>
              <w:right w:type="dxa" w:w="120"/>
            </w:tcMar>
          </w:tcPr>
          <w:p>
            <w:r>
              <w:rPr>
                <w:b w:val="false"/>
                <w:bCs w:val="false"/>
                <w:color w:val="1F2937"/>
                <w:sz w:val="19"/>
                <w:szCs w:val="19"/>
              </w:rPr>
              <w:t xml:space="preserve">Les experts et le support passent une part importante de leur temps à répondre aux mêmes questions récurrentes.</w:t>
            </w:r>
          </w:p>
        </w:tc>
        <w:tc>
          <w:tcPr>
            <w:tcW w:type="dxa" w:w="4032"/>
            <w:shd w:fill="FFFFFF" w:val="clear"/>
            <w:tcMar>
              <w:top w:type="dxa" w:w="100"/>
              <w:left w:type="dxa" w:w="120"/>
              <w:bottom w:type="dxa" w:w="100"/>
              <w:right w:type="dxa" w:w="120"/>
            </w:tcMar>
          </w:tcPr>
          <w:p>
            <w:r>
              <w:rPr>
                <w:b w:val="false"/>
                <w:bCs w:val="false"/>
                <w:color w:val="1F2937"/>
                <w:sz w:val="19"/>
                <w:szCs w:val="19"/>
              </w:rPr>
              <w:t xml:space="preserve">Le RAG absorbe les questions répétitives et ne transmet à un humain que les cas réellement nouveaux ou complexes.</w:t>
            </w:r>
          </w:p>
        </w:tc>
      </w:tr>
      <w:tr>
        <w:tc>
          <w:tcPr>
            <w:tcW w:type="dxa" w:w="2016"/>
            <w:shd w:fill="F4F6F9" w:val="clear"/>
            <w:tcMar>
              <w:top w:type="dxa" w:w="100"/>
              <w:left w:type="dxa" w:w="120"/>
              <w:bottom w:type="dxa" w:w="100"/>
              <w:right w:type="dxa" w:w="120"/>
            </w:tcMar>
          </w:tcPr>
          <w:p>
            <w:r>
              <w:rPr>
                <w:b w:val="false"/>
                <w:bCs w:val="false"/>
                <w:color w:val="1F2937"/>
                <w:sz w:val="19"/>
                <w:szCs w:val="19"/>
              </w:rPr>
              <w:t xml:space="preserve">Traçabilité</w:t>
            </w:r>
          </w:p>
        </w:tc>
        <w:tc>
          <w:tcPr>
            <w:tcW w:type="dxa" w:w="4032"/>
            <w:shd w:fill="F4F6F9" w:val="clear"/>
            <w:tcMar>
              <w:top w:type="dxa" w:w="100"/>
              <w:left w:type="dxa" w:w="120"/>
              <w:bottom w:type="dxa" w:w="100"/>
              <w:right w:type="dxa" w:w="120"/>
            </w:tcMar>
          </w:tcPr>
          <w:p>
            <w:r>
              <w:rPr>
                <w:b w:val="false"/>
                <w:bCs w:val="false"/>
                <w:color w:val="1F2937"/>
                <w:sz w:val="19"/>
                <w:szCs w:val="19"/>
              </w:rPr>
              <w:t xml:space="preserve">Une réponse orale ou rédigée à la main n'est pas toujours vérifiable a posteriori.</w:t>
            </w:r>
          </w:p>
        </w:tc>
        <w:tc>
          <w:tcPr>
            <w:tcW w:type="dxa" w:w="4032"/>
            <w:shd w:fill="F4F6F9" w:val="clear"/>
            <w:tcMar>
              <w:top w:type="dxa" w:w="100"/>
              <w:left w:type="dxa" w:w="120"/>
              <w:bottom w:type="dxa" w:w="100"/>
              <w:right w:type="dxa" w:w="120"/>
            </w:tcMar>
          </w:tcPr>
          <w:p>
            <w:r>
              <w:rPr>
                <w:b w:val="false"/>
                <w:bCs w:val="false"/>
                <w:color w:val="1F2937"/>
                <w:sz w:val="19"/>
                <w:szCs w:val="19"/>
              </w:rPr>
              <w:t xml:space="preserve">Chaque réponse peut être reliée à sa source documentaire précise, ce qui permet de l'auditer dans la durée.</w:t>
            </w:r>
          </w:p>
        </w:tc>
      </w:tr>
    </w:tbl>
    <w:p>
      <w:pPr>
        <w:pStyle w:val="Heading2"/>
        <w:spacing w:after="140" w:before="320"/>
      </w:pPr>
      <w:r>
        <w:rPr>
          <w:b/>
          <w:bCs/>
          <w:color w:val="10263F"/>
          <w:sz w:val="23"/>
          <w:szCs w:val="23"/>
        </w:rPr>
        <w:t xml:space="preserve">3.2 Bénéfices et retour sur investissement</w:t>
      </w:r>
    </w:p>
    <w:p>
      <w:pPr>
        <w:spacing w:after="160" w:line="300"/>
      </w:pPr>
      <w:r>
        <w:rPr>
          <w:b w:val="false"/>
          <w:bCs w:val="false"/>
          <w:i w:val="false"/>
          <w:iCs w:val="false"/>
          <w:color w:val="1F2937"/>
          <w:sz w:val="21"/>
          <w:szCs w:val="21"/>
        </w:rPr>
        <w:t xml:space="preserve">Chez TransferAI Africa, ce comparatif n'est pas théorique : c'est exactement ce que produit, en conditions réelles, le système décrit dans ce guide. Trois bénéfices structurent le retour sur investissement d'un projet RAG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0"/>
        <w:gridCol w:w="7459"/>
      </w:tblGrid>
      <w:tr>
        <w:tc>
          <w:tcPr>
            <w:tcW w:type="dxa" w:w="2620"/>
            <w:shd w:fill="10263F" w:val="clear"/>
            <w:tcMar>
              <w:top w:type="dxa" w:w="100"/>
              <w:left w:type="dxa" w:w="120"/>
              <w:bottom w:type="dxa" w:w="100"/>
              <w:right w:type="dxa" w:w="120"/>
            </w:tcMar>
          </w:tcPr>
          <w:p>
            <w:r>
              <w:rPr>
                <w:b/>
                <w:bCs/>
                <w:color w:val="FFFFFF"/>
                <w:sz w:val="18"/>
                <w:szCs w:val="18"/>
              </w:rPr>
              <w:t xml:space="preserve">BÉNÉFICE</w:t>
            </w:r>
          </w:p>
        </w:tc>
        <w:tc>
          <w:tcPr>
            <w:tcW w:type="dxa" w:w="7459"/>
            <w:shd w:fill="10263F" w:val="clear"/>
            <w:tcMar>
              <w:top w:type="dxa" w:w="100"/>
              <w:left w:type="dxa" w:w="120"/>
              <w:bottom w:type="dxa" w:w="100"/>
              <w:right w:type="dxa" w:w="120"/>
            </w:tcMar>
          </w:tcPr>
          <w:p>
            <w:r>
              <w:rPr>
                <w:b/>
                <w:bCs/>
                <w:color w:val="FFFFFF"/>
                <w:sz w:val="18"/>
                <w:szCs w:val="18"/>
              </w:rPr>
              <w:t xml:space="preserve">CE QUE CELA SIGNIFIE EN PRATIQUE</w:t>
            </w:r>
          </w:p>
        </w:tc>
      </w:tr>
      <w:tr>
        <w:tc>
          <w:tcPr>
            <w:tcW w:type="dxa" w:w="2620"/>
            <w:shd w:fill="FFFFFF" w:val="clear"/>
            <w:tcMar>
              <w:top w:type="dxa" w:w="100"/>
              <w:left w:type="dxa" w:w="120"/>
              <w:bottom w:type="dxa" w:w="100"/>
              <w:right w:type="dxa" w:w="120"/>
            </w:tcMar>
          </w:tcPr>
          <w:p>
            <w:r>
              <w:rPr>
                <w:b w:val="false"/>
                <w:bCs w:val="false"/>
                <w:color w:val="1F2937"/>
                <w:sz w:val="19"/>
                <w:szCs w:val="19"/>
              </w:rPr>
              <w:t xml:space="preserve">Précision</w:t>
            </w:r>
          </w:p>
        </w:tc>
        <w:tc>
          <w:tcPr>
            <w:tcW w:type="dxa" w:w="7459"/>
            <w:shd w:fill="FFFFFF" w:val="clear"/>
            <w:tcMar>
              <w:top w:type="dxa" w:w="100"/>
              <w:left w:type="dxa" w:w="120"/>
              <w:bottom w:type="dxa" w:w="100"/>
              <w:right w:type="dxa" w:w="120"/>
            </w:tcMar>
          </w:tcPr>
          <w:p>
            <w:r>
              <w:rPr>
                <w:b w:val="false"/>
                <w:bCs w:val="false"/>
                <w:color w:val="1F2937"/>
                <w:sz w:val="19"/>
                <w:szCs w:val="19"/>
              </w:rPr>
              <w:t xml:space="preserve">La réponse s'appuie sur de vrais documents de l'organisation, pas sur des connaissances générales potentiellement fausses ou obsolètes.</w:t>
            </w:r>
          </w:p>
        </w:tc>
      </w:tr>
      <w:tr>
        <w:tc>
          <w:tcPr>
            <w:tcW w:type="dxa" w:w="2620"/>
            <w:shd w:fill="F4F6F9" w:val="clear"/>
            <w:tcMar>
              <w:top w:type="dxa" w:w="100"/>
              <w:left w:type="dxa" w:w="120"/>
              <w:bottom w:type="dxa" w:w="100"/>
              <w:right w:type="dxa" w:w="120"/>
            </w:tcMar>
          </w:tcPr>
          <w:p>
            <w:r>
              <w:rPr>
                <w:b w:val="false"/>
                <w:bCs w:val="false"/>
                <w:color w:val="1F2937"/>
                <w:sz w:val="19"/>
                <w:szCs w:val="19"/>
              </w:rPr>
              <w:t xml:space="preserve">Fraîcheur</w:t>
            </w:r>
          </w:p>
        </w:tc>
        <w:tc>
          <w:tcPr>
            <w:tcW w:type="dxa" w:w="7459"/>
            <w:shd w:fill="F4F6F9" w:val="clear"/>
            <w:tcMar>
              <w:top w:type="dxa" w:w="100"/>
              <w:left w:type="dxa" w:w="120"/>
              <w:bottom w:type="dxa" w:w="100"/>
              <w:right w:type="dxa" w:w="120"/>
            </w:tcMar>
          </w:tcPr>
          <w:p>
            <w:r>
              <w:rPr>
                <w:b w:val="false"/>
                <w:bCs w:val="false"/>
                <w:color w:val="1F2937"/>
                <w:sz w:val="19"/>
                <w:szCs w:val="19"/>
              </w:rPr>
              <w:t xml:space="preserve">Il suffit d'ajouter ou de mettre à jour un document pour que l'IA en tienne compte — pas besoin de reprogrammer ou de réentraîner un modèle.</w:t>
            </w:r>
          </w:p>
        </w:tc>
      </w:tr>
      <w:tr>
        <w:tc>
          <w:tcPr>
            <w:tcW w:type="dxa" w:w="2620"/>
            <w:shd w:fill="FFFFFF" w:val="clear"/>
            <w:tcMar>
              <w:top w:type="dxa" w:w="100"/>
              <w:left w:type="dxa" w:w="120"/>
              <w:bottom w:type="dxa" w:w="100"/>
              <w:right w:type="dxa" w:w="120"/>
            </w:tcMar>
          </w:tcPr>
          <w:p>
            <w:r>
              <w:rPr>
                <w:b w:val="false"/>
                <w:bCs w:val="false"/>
                <w:color w:val="1F2937"/>
                <w:sz w:val="19"/>
                <w:szCs w:val="19"/>
              </w:rPr>
              <w:t xml:space="preserve">Traçabilité</w:t>
            </w:r>
          </w:p>
        </w:tc>
        <w:tc>
          <w:tcPr>
            <w:tcW w:type="dxa" w:w="7459"/>
            <w:shd w:fill="FFFFFF" w:val="clear"/>
            <w:tcMar>
              <w:top w:type="dxa" w:w="100"/>
              <w:left w:type="dxa" w:w="120"/>
              <w:bottom w:type="dxa" w:w="100"/>
              <w:right w:type="dxa" w:w="120"/>
            </w:tcMar>
          </w:tcPr>
          <w:p>
            <w:r>
              <w:rPr>
                <w:b w:val="false"/>
                <w:bCs w:val="false"/>
                <w:color w:val="1F2937"/>
                <w:sz w:val="19"/>
                <w:szCs w:val="19"/>
              </w:rPr>
              <w:t xml:space="preserve">Chaque réponse peut être reliée à sa source documentaire, ce qui permet de vérifier et de faire confiance à l'information fournie.</w:t>
            </w:r>
          </w:p>
        </w:tc>
      </w:tr>
    </w:tbl>
    <w:p>
      <w:pPr>
        <w:spacing w:after="160" w:line="300"/>
      </w:pPr>
      <w:r>
        <w:rPr>
          <w:b w:val="false"/>
          <w:bCs w:val="false"/>
          <w:i/>
          <w:iCs/>
          <w:color w:val="1F2937"/>
          <w:sz w:val="21"/>
          <w:szCs w:val="21"/>
        </w:rPr>
        <w:t xml:space="preserve">En ordre de grandeur, sur la base de l'expérience TransferAI : un objectif réaliste pour une organisation de taille comparable est de récupérer plusieurs heures de temps productif par semaine et par collaborateur exposé à des recherches documentaires fréquentes, tout en réduisant la charge des experts internes sollicités pour des questions répétitives. Ces ordres de grandeur restent à valider spécifiquement pour chaque organisation, en fonction du volume de documentation et de la fréquence des recherches — c'est précisément l'objet d'un premier diagnostic avant tout déploiement.</w:t>
      </w:r>
    </w:p>
    <w:p>
      <w:r>
        <w:br w:type="page"/>
      </w:r>
    </w:p>
    <w:p>
      <w:pPr>
        <w:pStyle w:val="Heading1"/>
        <w:pBdr>
          <w:bottom w:val="single" w:color="1E8A99" w:sz="8" w:space="6"/>
        </w:pBdr>
        <w:spacing w:after="200" w:before="480"/>
      </w:pPr>
      <w:r>
        <w:rPr>
          <w:b/>
          <w:bCs/>
          <w:color w:val="10263F"/>
          <w:sz w:val="30"/>
          <w:szCs w:val="30"/>
        </w:rPr>
        <w:t xml:space="preserve">Partie 4 — Applications par secteur d'activité</w:t>
      </w:r>
    </w:p>
    <w:p>
      <w:pPr>
        <w:spacing w:after="160" w:line="300"/>
      </w:pPr>
      <w:r>
        <w:rPr>
          <w:b w:val="false"/>
          <w:bCs w:val="false"/>
          <w:i w:val="false"/>
          <w:iCs w:val="false"/>
          <w:color w:val="1F2937"/>
          <w:sz w:val="21"/>
          <w:szCs w:val="21"/>
        </w:rPr>
        <w:t xml:space="preserve">Le RAG n'est pas une technologie réservée à l'informatique : c'est un outil transversal qui transforme la façon de travailler dans de nombreux métiers, en donnant à chacun un accès instantané et fiable à la connaissance de son organisation. Quelques illustrations concrètes, secteur par secteur.</w:t>
      </w:r>
    </w:p>
    <w:p>
      <w:pPr>
        <w:pStyle w:val="Heading2"/>
        <w:spacing w:after="140" w:before="320"/>
      </w:pPr>
      <w:r>
        <w:rPr>
          <w:b/>
          <w:bCs/>
          <w:color w:val="10263F"/>
          <w:sz w:val="23"/>
          <w:szCs w:val="23"/>
        </w:rPr>
        <w:t xml:space="preserve">4.1 Ressources Humaines</w:t>
      </w:r>
    </w:p>
    <w:p>
      <w:pPr>
        <w:pStyle w:val="ListParagraph"/>
        <w:numPr>
          <w:ilvl w:val="0"/>
          <w:numId w:val="2"/>
        </w:numPr>
        <w:spacing w:after="90"/>
      </w:pPr>
      <w:r>
        <w:rPr>
          <w:color w:val="1F2937"/>
          <w:sz w:val="21"/>
          <w:szCs w:val="21"/>
        </w:rPr>
        <w:t xml:space="preserve">Permettre à chaque collaborateur de retrouver lui-même une réponse dans la convention collective, le règlement intérieur ou les procédures RH, sans solliciter systématiquement le service RH.</w:t>
      </w:r>
    </w:p>
    <w:p>
      <w:pPr>
        <w:pStyle w:val="ListParagraph"/>
        <w:numPr>
          <w:ilvl w:val="0"/>
          <w:numId w:val="2"/>
        </w:numPr>
        <w:spacing w:after="90"/>
      </w:pPr>
      <w:r>
        <w:rPr>
          <w:color w:val="1F2937"/>
          <w:sz w:val="21"/>
          <w:szCs w:val="21"/>
        </w:rPr>
        <w:t xml:space="preserve">Accélérer l'intégration des nouveaux employés : un assistant RAG répond aux questions courantes (congés, avantages, procédures internes) dès le premier jour.</w:t>
      </w:r>
    </w:p>
    <w:p>
      <w:pPr>
        <w:pStyle w:val="ListParagraph"/>
        <w:numPr>
          <w:ilvl w:val="0"/>
          <w:numId w:val="2"/>
        </w:numPr>
        <w:spacing w:after="90"/>
      </w:pPr>
      <w:r>
        <w:rPr>
          <w:color w:val="1F2937"/>
          <w:sz w:val="21"/>
          <w:szCs w:val="21"/>
        </w:rPr>
        <w:t xml:space="preserve">Fiabiliser les réponses données aux collaborateurs sur des sujets sensibles (paie, disciplinaire) en s'appuyant strictement sur les textes en vigueur, pas sur une interprétation orale variable d'un manager à l'autre.</w:t>
      </w:r>
    </w:p>
    <w:p>
      <w:pPr>
        <w:pStyle w:val="Heading2"/>
        <w:spacing w:after="140" w:before="320"/>
      </w:pPr>
      <w:r>
        <w:rPr>
          <w:b/>
          <w:bCs/>
          <w:color w:val="10263F"/>
          <w:sz w:val="23"/>
          <w:szCs w:val="23"/>
        </w:rPr>
        <w:t xml:space="preserve">4.2 Finance &amp; Banques</w:t>
      </w:r>
    </w:p>
    <w:p>
      <w:pPr>
        <w:pStyle w:val="ListParagraph"/>
        <w:numPr>
          <w:ilvl w:val="0"/>
          <w:numId w:val="2"/>
        </w:numPr>
        <w:spacing w:after="90"/>
      </w:pPr>
      <w:r>
        <w:rPr>
          <w:color w:val="1F2937"/>
          <w:sz w:val="21"/>
          <w:szCs w:val="21"/>
        </w:rPr>
        <w:t xml:space="preserve">Retrouver instantanément une procédure de conformité, un seuil réglementaire ou une clause contractuelle dans un corpus documentaire volumineux (réglementation UEMOA/BCEAO, procédures internes de contrôle).</w:t>
      </w:r>
    </w:p>
    <w:p>
      <w:pPr>
        <w:pStyle w:val="ListParagraph"/>
        <w:numPr>
          <w:ilvl w:val="0"/>
          <w:numId w:val="2"/>
        </w:numPr>
        <w:spacing w:after="90"/>
      </w:pPr>
      <w:r>
        <w:rPr>
          <w:color w:val="1F2937"/>
          <w:sz w:val="21"/>
          <w:szCs w:val="21"/>
        </w:rPr>
        <w:t xml:space="preserve">Accélérer les revues de pré-clôture ou d'audit interne en donnant accès en langage naturel à l'historique des procédures et politiques internes.</w:t>
      </w:r>
    </w:p>
    <w:p>
      <w:pPr>
        <w:pStyle w:val="ListParagraph"/>
        <w:numPr>
          <w:ilvl w:val="0"/>
          <w:numId w:val="2"/>
        </w:numPr>
        <w:spacing w:after="90"/>
      </w:pPr>
      <w:r>
        <w:rPr>
          <w:color w:val="1F2937"/>
          <w:sz w:val="21"/>
          <w:szCs w:val="21"/>
        </w:rPr>
        <w:t xml:space="preserve">Assister les équipes de conformité et de gestion des risques dans la veille réglementaire, avec des réponses toujours sourcées et vérifiables — un point non négociable dans un secteur fortement audité.</w:t>
      </w:r>
    </w:p>
    <w:p>
      <w:pPr>
        <w:pStyle w:val="Heading2"/>
        <w:spacing w:after="140" w:before="320"/>
      </w:pPr>
      <w:r>
        <w:rPr>
          <w:b/>
          <w:bCs/>
          <w:color w:val="10263F"/>
          <w:sz w:val="23"/>
          <w:szCs w:val="23"/>
        </w:rPr>
        <w:t xml:space="preserve">4.3 Transport &amp; Logistique</w:t>
      </w:r>
    </w:p>
    <w:p>
      <w:pPr>
        <w:pStyle w:val="ListParagraph"/>
        <w:numPr>
          <w:ilvl w:val="0"/>
          <w:numId w:val="2"/>
        </w:numPr>
        <w:spacing w:after="90"/>
      </w:pPr>
      <w:r>
        <w:rPr>
          <w:color w:val="1F2937"/>
          <w:sz w:val="21"/>
          <w:szCs w:val="21"/>
        </w:rPr>
        <w:t xml:space="preserve">Donner aux équipes d'exploitation un accès instantané aux procédures de sécurité, aux protocoles d'incident ou aux exigences douanières spécifiques à chaque corridor ou pays desservi.</w:t>
      </w:r>
    </w:p>
    <w:p>
      <w:pPr>
        <w:pStyle w:val="ListParagraph"/>
        <w:numPr>
          <w:ilvl w:val="0"/>
          <w:numId w:val="2"/>
        </w:numPr>
        <w:spacing w:after="90"/>
      </w:pPr>
      <w:r>
        <w:rPr>
          <w:color w:val="1F2937"/>
          <w:sz w:val="21"/>
          <w:szCs w:val="21"/>
        </w:rPr>
        <w:t xml:space="preserve">Réduire le temps de formation des nouveaux chauffeurs ou agents d'exploitation, en leur permettant d'interroger directement la documentation opérationnelle plutôt que d'attendre la disponibilité d'un formateur.</w:t>
      </w:r>
    </w:p>
    <w:p>
      <w:pPr>
        <w:pStyle w:val="ListParagraph"/>
        <w:numPr>
          <w:ilvl w:val="0"/>
          <w:numId w:val="2"/>
        </w:numPr>
        <w:spacing w:after="90"/>
      </w:pPr>
      <w:r>
        <w:rPr>
          <w:color w:val="1F2937"/>
          <w:sz w:val="21"/>
          <w:szCs w:val="21"/>
        </w:rPr>
        <w:t xml:space="preserve">Centraliser la connaissance dispersée entre entrepôts, agences ou pays, pour une application homogène des procédures quel que soit le site.</w:t>
      </w:r>
    </w:p>
    <w:p>
      <w:pPr>
        <w:pStyle w:val="Heading2"/>
        <w:spacing w:after="140" w:before="320"/>
      </w:pPr>
      <w:r>
        <w:rPr>
          <w:b/>
          <w:bCs/>
          <w:color w:val="10263F"/>
          <w:sz w:val="23"/>
          <w:szCs w:val="23"/>
        </w:rPr>
        <w:t xml:space="preserve">4.4 Santé</w:t>
      </w:r>
    </w:p>
    <w:p>
      <w:pPr>
        <w:pStyle w:val="ListParagraph"/>
        <w:numPr>
          <w:ilvl w:val="0"/>
          <w:numId w:val="2"/>
        </w:numPr>
        <w:spacing w:after="90"/>
      </w:pPr>
      <w:r>
        <w:rPr>
          <w:color w:val="1F2937"/>
          <w:sz w:val="21"/>
          <w:szCs w:val="21"/>
        </w:rPr>
        <w:t xml:space="preserve">Aider le personnel soignant à retrouver un protocole, une posologie ou une procédure dans la documentation médicale validée par l'établissement, avec la source précise citée — essentiel dans un contexte où l'exactitude a un impact direct sur la sécurité des patients.</w:t>
      </w:r>
    </w:p>
    <w:p>
      <w:pPr>
        <w:pStyle w:val="ListParagraph"/>
        <w:numPr>
          <w:ilvl w:val="0"/>
          <w:numId w:val="2"/>
        </w:numPr>
        <w:spacing w:after="90"/>
      </w:pPr>
      <w:r>
        <w:rPr>
          <w:color w:val="1F2937"/>
          <w:sz w:val="21"/>
          <w:szCs w:val="21"/>
        </w:rPr>
        <w:t xml:space="preserve">Faciliter l'accès du personnel administratif aux procédures d'admission, de facturation ou de prise en charge, sans dépendre exclusivement de la mémoire d'un collègue expérimenté.</w:t>
      </w:r>
    </w:p>
    <w:p>
      <w:pPr>
        <w:pStyle w:val="ListParagraph"/>
        <w:numPr>
          <w:ilvl w:val="0"/>
          <w:numId w:val="2"/>
        </w:numPr>
        <w:spacing w:after="90"/>
      </w:pPr>
      <w:r>
        <w:rPr>
          <w:color w:val="1F2937"/>
          <w:sz w:val="21"/>
          <w:szCs w:val="21"/>
        </w:rPr>
        <w:t xml:space="preserve">Accélérer la mise à jour des pratiques lors de la publication d'un nouveau protocole : il suffit d'ajouter le document, sans attendre une session de formation collective pour que l'information soit accessible à tous.</w:t>
      </w:r>
    </w:p>
    <w:p>
      <w:pPr>
        <w:pStyle w:val="Heading2"/>
        <w:spacing w:after="140" w:before="320"/>
      </w:pPr>
      <w:r>
        <w:rPr>
          <w:b/>
          <w:bCs/>
          <w:color w:val="10263F"/>
          <w:sz w:val="23"/>
          <w:szCs w:val="23"/>
        </w:rPr>
        <w:t xml:space="preserve">4.5 Et au-delà</w:t>
      </w:r>
    </w:p>
    <w:p>
      <w:pPr>
        <w:spacing w:after="160" w:line="300"/>
      </w:pPr>
      <w:r>
        <w:rPr>
          <w:b w:val="false"/>
          <w:bCs w:val="false"/>
          <w:i w:val="false"/>
          <w:iCs w:val="false"/>
          <w:color w:val="1F2937"/>
          <w:sz w:val="21"/>
          <w:szCs w:val="21"/>
        </w:rPr>
        <w:t xml:space="preserve">Le même principe s'applique à tout secteur disposant d'une documentation de référence : juridique et conformité (recherche de clauses ou de précédents), secteur public (orientation des usagers vers la bonne procédure réglementaire), formation et pédagogie (réponses sourcées à partir des supports de cours), support client (réponses instantanées à partir des vraies procédures internes, sans attendre un agent humain disponible).</w:t>
      </w:r>
    </w:p>
    <w:p>
      <w:r>
        <w:br w:type="page"/>
      </w:r>
    </w:p>
    <w:p>
      <w:pPr>
        <w:pStyle w:val="Heading1"/>
        <w:pBdr>
          <w:bottom w:val="single" w:color="1E8A99" w:sz="8" w:space="6"/>
        </w:pBdr>
        <w:spacing w:after="200" w:before="480"/>
      </w:pPr>
      <w:r>
        <w:rPr>
          <w:b/>
          <w:bCs/>
          <w:color w:val="10263F"/>
          <w:sz w:val="30"/>
          <w:szCs w:val="30"/>
        </w:rPr>
        <w:t xml:space="preserve">Partie 5 — Guide utilisateur : bien utiliser un système RAG au quotidien</w:t>
      </w:r>
    </w:p>
    <w:p>
      <w:pPr>
        <w:pStyle w:val="Heading2"/>
        <w:spacing w:after="140" w:before="320"/>
      </w:pPr>
      <w:r>
        <w:rPr>
          <w:b/>
          <w:bCs/>
          <w:color w:val="10263F"/>
          <w:sz w:val="23"/>
          <w:szCs w:val="23"/>
        </w:rPr>
        <w:t xml:space="preserve">5.1 Formuler une bonne question</w:t>
      </w:r>
    </w:p>
    <w:p>
      <w:pPr>
        <w:spacing w:after="160" w:line="300"/>
      </w:pPr>
      <w:r>
        <w:rPr>
          <w:b w:val="false"/>
          <w:bCs w:val="false"/>
          <w:i w:val="false"/>
          <w:iCs w:val="false"/>
          <w:color w:val="1F2937"/>
          <w:sz w:val="21"/>
          <w:szCs w:val="21"/>
        </w:rPr>
        <w:t xml:space="preserve">La qualité de la réponse dépend directement de la qualité de la question posée. Plus une question reprend le vocabulaire réellement utilisé dans les documents (titres, termes métier précis), meilleur sera le score de similarité et donc la fiabilité de la réponse.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32"/>
        <w:gridCol w:w="6048"/>
      </w:tblGrid>
      <w:tr>
        <w:tc>
          <w:tcPr>
            <w:tcW w:type="dxa" w:w="4032"/>
            <w:shd w:fill="10263F" w:val="clear"/>
            <w:tcMar>
              <w:top w:type="dxa" w:w="100"/>
              <w:left w:type="dxa" w:w="120"/>
              <w:bottom w:type="dxa" w:w="100"/>
              <w:right w:type="dxa" w:w="120"/>
            </w:tcMar>
          </w:tcPr>
          <w:p>
            <w:r>
              <w:rPr>
                <w:b/>
                <w:bCs/>
                <w:color w:val="FFFFFF"/>
                <w:sz w:val="18"/>
                <w:szCs w:val="18"/>
              </w:rPr>
              <w:t xml:space="preserve">QUESTIONS PEU EFFICACES</w:t>
            </w:r>
          </w:p>
        </w:tc>
        <w:tc>
          <w:tcPr>
            <w:tcW w:type="dxa" w:w="6048"/>
            <w:shd w:fill="10263F" w:val="clear"/>
            <w:tcMar>
              <w:top w:type="dxa" w:w="100"/>
              <w:left w:type="dxa" w:w="120"/>
              <w:bottom w:type="dxa" w:w="100"/>
              <w:right w:type="dxa" w:w="120"/>
            </w:tcMar>
          </w:tcPr>
          <w:p>
            <w:r>
              <w:rPr>
                <w:b/>
                <w:bCs/>
                <w:color w:val="FFFFFF"/>
                <w:sz w:val="18"/>
                <w:szCs w:val="18"/>
              </w:rPr>
              <w:t xml:space="preserve">QUESTIONS TRÈS EFFICACES</w:t>
            </w:r>
          </w:p>
        </w:tc>
      </w:tr>
      <w:tr>
        <w:tc>
          <w:tcPr>
            <w:tcW w:type="dxa" w:w="4032"/>
            <w:shd w:fill="FFFFFF" w:val="clear"/>
            <w:tcMar>
              <w:top w:type="dxa" w:w="100"/>
              <w:left w:type="dxa" w:w="120"/>
              <w:bottom w:type="dxa" w:w="100"/>
              <w:right w:type="dxa" w:w="120"/>
            </w:tcMar>
          </w:tcPr>
          <w:p>
            <w:r>
              <w:rPr>
                <w:b w:val="false"/>
                <w:bCs w:val="false"/>
                <w:color w:val="1F2937"/>
                <w:sz w:val="19"/>
                <w:szCs w:val="19"/>
              </w:rPr>
              <w:t xml:space="preserve">Parle-moi de la banque</w:t>
            </w:r>
          </w:p>
        </w:tc>
        <w:tc>
          <w:tcPr>
            <w:tcW w:type="dxa" w:w="6048"/>
            <w:shd w:fill="FFFFFF" w:val="clear"/>
            <w:tcMar>
              <w:top w:type="dxa" w:w="100"/>
              <w:left w:type="dxa" w:w="120"/>
              <w:bottom w:type="dxa" w:w="100"/>
              <w:right w:type="dxa" w:w="120"/>
            </w:tcMar>
          </w:tcPr>
          <w:p>
            <w:r>
              <w:rPr>
                <w:b w:val="false"/>
                <w:bCs w:val="false"/>
                <w:color w:val="1F2937"/>
                <w:sz w:val="19"/>
                <w:szCs w:val="19"/>
              </w:rPr>
              <w:t xml:space="preserve">Quels sont les 3 principaux cas d'usage IA dans les banques africaines selon nos decks ?</w:t>
            </w:r>
          </w:p>
        </w:tc>
      </w:tr>
      <w:tr>
        <w:tc>
          <w:tcPr>
            <w:tcW w:type="dxa" w:w="4032"/>
            <w:shd w:fill="F4F6F9" w:val="clear"/>
            <w:tcMar>
              <w:top w:type="dxa" w:w="100"/>
              <w:left w:type="dxa" w:w="120"/>
              <w:bottom w:type="dxa" w:w="100"/>
              <w:right w:type="dxa" w:w="120"/>
            </w:tcMar>
          </w:tcPr>
          <w:p>
            <w:r>
              <w:rPr>
                <w:b w:val="false"/>
                <w:bCs w:val="false"/>
                <w:color w:val="1F2937"/>
                <w:sz w:val="19"/>
                <w:szCs w:val="19"/>
              </w:rPr>
              <w:t xml:space="preserve">Réglementation</w:t>
            </w:r>
          </w:p>
        </w:tc>
        <w:tc>
          <w:tcPr>
            <w:tcW w:type="dxa" w:w="6048"/>
            <w:shd w:fill="F4F6F9" w:val="clear"/>
            <w:tcMar>
              <w:top w:type="dxa" w:w="100"/>
              <w:left w:type="dxa" w:w="120"/>
              <w:bottom w:type="dxa" w:w="100"/>
              <w:right w:type="dxa" w:w="120"/>
            </w:tcMar>
          </w:tcPr>
          <w:p>
            <w:r>
              <w:rPr>
                <w:b w:val="false"/>
                <w:bCs w:val="false"/>
                <w:color w:val="1F2937"/>
                <w:sz w:val="19"/>
                <w:szCs w:val="19"/>
              </w:rPr>
              <w:t xml:space="preserve">Quelles sont les obligations légales pour une fintech en Côte d'Ivoire en 2026 ?</w:t>
            </w:r>
          </w:p>
        </w:tc>
      </w:tr>
      <w:tr>
        <w:tc>
          <w:tcPr>
            <w:tcW w:type="dxa" w:w="4032"/>
            <w:shd w:fill="FFFFFF" w:val="clear"/>
            <w:tcMar>
              <w:top w:type="dxa" w:w="100"/>
              <w:left w:type="dxa" w:w="120"/>
              <w:bottom w:type="dxa" w:w="100"/>
              <w:right w:type="dxa" w:w="120"/>
            </w:tcMar>
          </w:tcPr>
          <w:p>
            <w:r>
              <w:rPr>
                <w:b w:val="false"/>
                <w:bCs w:val="false"/>
                <w:color w:val="1F2937"/>
                <w:sz w:val="19"/>
                <w:szCs w:val="19"/>
              </w:rPr>
              <w:t xml:space="preserve">Comment on fait l'audit ?</w:t>
            </w:r>
          </w:p>
        </w:tc>
        <w:tc>
          <w:tcPr>
            <w:tcW w:type="dxa" w:w="6048"/>
            <w:shd w:fill="FFFFFF" w:val="clear"/>
            <w:tcMar>
              <w:top w:type="dxa" w:w="100"/>
              <w:left w:type="dxa" w:w="120"/>
              <w:bottom w:type="dxa" w:w="100"/>
              <w:right w:type="dxa" w:w="120"/>
            </w:tcMar>
          </w:tcPr>
          <w:p>
            <w:r>
              <w:rPr>
                <w:b w:val="false"/>
                <w:bCs w:val="false"/>
                <w:color w:val="1F2937"/>
                <w:sz w:val="19"/>
                <w:szCs w:val="19"/>
              </w:rPr>
              <w:t xml:space="preserve">Quelles sont les étapes de l'audit IA pour un client industrie manufacturière ?</w:t>
            </w:r>
          </w:p>
        </w:tc>
      </w:tr>
      <w:tr>
        <w:tc>
          <w:tcPr>
            <w:tcW w:type="dxa" w:w="4032"/>
            <w:shd w:fill="F4F6F9" w:val="clear"/>
            <w:tcMar>
              <w:top w:type="dxa" w:w="100"/>
              <w:left w:type="dxa" w:w="120"/>
              <w:bottom w:type="dxa" w:w="100"/>
              <w:right w:type="dxa" w:w="120"/>
            </w:tcMar>
          </w:tcPr>
          <w:p>
            <w:r>
              <w:rPr>
                <w:b w:val="false"/>
                <w:bCs w:val="false"/>
                <w:color w:val="1F2937"/>
                <w:sz w:val="19"/>
                <w:szCs w:val="19"/>
              </w:rPr>
              <w:t xml:space="preserve">Donne-moi des infos</w:t>
            </w:r>
          </w:p>
        </w:tc>
        <w:tc>
          <w:tcPr>
            <w:tcW w:type="dxa" w:w="6048"/>
            <w:shd w:fill="F4F6F9" w:val="clear"/>
            <w:tcMar>
              <w:top w:type="dxa" w:w="100"/>
              <w:left w:type="dxa" w:w="120"/>
              <w:bottom w:type="dxa" w:w="100"/>
              <w:right w:type="dxa" w:w="120"/>
            </w:tcMar>
          </w:tcPr>
          <w:p>
            <w:r>
              <w:rPr>
                <w:b w:val="false"/>
                <w:bCs w:val="false"/>
                <w:color w:val="1F2937"/>
                <w:sz w:val="19"/>
                <w:szCs w:val="19"/>
              </w:rPr>
              <w:t xml:space="preserve">Quel est le modèle de tarification pour les entreprises de plus de 500 employés ?</w:t>
            </w:r>
          </w:p>
        </w:tc>
      </w:tr>
    </w:tbl>
    <w:p>
      <w:pPr>
        <w:pStyle w:val="Heading2"/>
        <w:spacing w:after="140" w:before="320"/>
      </w:pPr>
      <w:r>
        <w:rPr>
          <w:b/>
          <w:bCs/>
          <w:color w:val="10263F"/>
          <w:sz w:val="23"/>
          <w:szCs w:val="23"/>
        </w:rPr>
        <w:t xml:space="preserve">5.2 Canaux d'accès</w:t>
      </w:r>
    </w:p>
    <w:p>
      <w:pPr>
        <w:spacing w:after="160" w:line="300"/>
      </w:pPr>
      <w:r>
        <w:rPr>
          <w:b w:val="false"/>
          <w:bCs w:val="false"/>
          <w:i w:val="false"/>
          <w:iCs w:val="false"/>
          <w:color w:val="1F2937"/>
          <w:sz w:val="21"/>
          <w:szCs w:val="21"/>
        </w:rPr>
        <w:t xml:space="preserve">Un système RAG bien conçu doit rester accessible sans compétence technique. Dans le cas TransferAI, trois canaux coexistent : une conversation directe (WhatsApp, chat), une interface web dédiée (poser une question, cliquer sur « Lancer la recherche »), et une intégration API pour les usages développeurs. Le canal le plus simple pour un collègue non technique reste l'interface web.</w:t>
      </w:r>
    </w:p>
    <w:p>
      <w:pPr>
        <w:pStyle w:val="Heading2"/>
        <w:spacing w:after="140" w:before="320"/>
      </w:pPr>
      <w:r>
        <w:rPr>
          <w:b/>
          <w:bCs/>
          <w:color w:val="10263F"/>
          <w:sz w:val="23"/>
          <w:szCs w:val="23"/>
        </w:rPr>
        <w:t xml:space="preserve">5.3 Alimenter la base de connaissances</w:t>
      </w:r>
    </w:p>
    <w:p>
      <w:pPr>
        <w:pStyle w:val="ListParagraph"/>
        <w:numPr>
          <w:ilvl w:val="0"/>
          <w:numId w:val="3"/>
        </w:numPr>
        <w:spacing w:after="90"/>
      </w:pPr>
      <w:r>
        <w:rPr>
          <w:color w:val="1F2937"/>
          <w:sz w:val="21"/>
          <w:szCs w:val="21"/>
        </w:rPr>
        <w:t xml:space="preserve">Déposer le document de référence dans le dossier surveillé correspondant à sa thématique.</w:t>
      </w:r>
    </w:p>
    <w:p>
      <w:pPr>
        <w:pStyle w:val="ListParagraph"/>
        <w:numPr>
          <w:ilvl w:val="0"/>
          <w:numId w:val="3"/>
        </w:numPr>
        <w:spacing w:after="90"/>
      </w:pPr>
      <w:r>
        <w:rPr>
          <w:color w:val="1F2937"/>
          <w:sz w:val="21"/>
          <w:szCs w:val="21"/>
        </w:rPr>
        <w:t xml:space="preserve">Si le document n'est pas dans un format texte natif (.docx, .pptx, .pdf), générer et déposer à côté une version texte extraite proprement, qui est ce que le système utilise réellement.</w:t>
      </w:r>
    </w:p>
    <w:p>
      <w:pPr>
        <w:pStyle w:val="ListParagraph"/>
        <w:numPr>
          <w:ilvl w:val="0"/>
          <w:numId w:val="3"/>
        </w:numPr>
        <w:spacing w:after="90"/>
      </w:pPr>
      <w:r>
        <w:rPr>
          <w:color w:val="1F2937"/>
          <w:sz w:val="21"/>
          <w:szCs w:val="21"/>
        </w:rPr>
        <w:t xml:space="preserve">Attendre le prochain cycle automatique d'ingestion (généralement toutes les 6 heures), ou demander un déclenchement manuel si une prise en compte plus rapide est nécessaire.</w:t>
      </w:r>
    </w:p>
    <w:p>
      <w:pPr>
        <w:pStyle w:val="Heading2"/>
        <w:spacing w:after="140" w:before="320"/>
      </w:pPr>
      <w:r>
        <w:rPr>
          <w:b/>
          <w:bCs/>
          <w:color w:val="10263F"/>
          <w:sz w:val="23"/>
          <w:szCs w:val="23"/>
        </w:rPr>
        <w:t xml:space="preserve">5.4 Ce qu'il ne faut jamais déposer dans la base documentaire</w:t>
      </w:r>
    </w:p>
    <w:p>
      <w:pPr>
        <w:spacing w:after="160" w:line="300"/>
      </w:pPr>
      <w:r>
        <w:rPr>
          <w:b w:val="false"/>
          <w:bCs w:val="false"/>
          <w:i w:val="false"/>
          <w:iCs w:val="false"/>
          <w:color w:val="1F2937"/>
          <w:sz w:val="21"/>
          <w:szCs w:val="21"/>
        </w:rPr>
        <w:t xml:space="preserve">Un système RAG ne filtre pas le contenu par niveau de confidentialité : tout document déposé dans un dossier surveillé peut potentiellement être cité dans une réponse. Il ne faut donc jamais y déposer :</w:t>
      </w:r>
    </w:p>
    <w:p>
      <w:pPr>
        <w:pStyle w:val="ListParagraph"/>
        <w:numPr>
          <w:ilvl w:val="0"/>
          <w:numId w:val="2"/>
        </w:numPr>
        <w:spacing w:after="90"/>
      </w:pPr>
      <w:r>
        <w:rPr>
          <w:color w:val="1F2937"/>
          <w:sz w:val="21"/>
          <w:szCs w:val="21"/>
        </w:rPr>
        <w:t xml:space="preserve">des tarifs internes non destinés à être communiqués tels quels,</w:t>
      </w:r>
    </w:p>
    <w:p>
      <w:pPr>
        <w:pStyle w:val="ListParagraph"/>
        <w:numPr>
          <w:ilvl w:val="0"/>
          <w:numId w:val="2"/>
        </w:numPr>
        <w:spacing w:after="90"/>
      </w:pPr>
      <w:r>
        <w:rPr>
          <w:color w:val="1F2937"/>
          <w:sz w:val="21"/>
          <w:szCs w:val="21"/>
        </w:rPr>
        <w:t xml:space="preserve">des argumentaires commerciaux strictement internes,</w:t>
      </w:r>
    </w:p>
    <w:p>
      <w:pPr>
        <w:pStyle w:val="ListParagraph"/>
        <w:numPr>
          <w:ilvl w:val="0"/>
          <w:numId w:val="2"/>
        </w:numPr>
        <w:spacing w:after="90"/>
      </w:pPr>
      <w:r>
        <w:rPr>
          <w:color w:val="1F2937"/>
          <w:sz w:val="21"/>
          <w:szCs w:val="21"/>
        </w:rPr>
        <w:t xml:space="preserve">des identifiants techniques, mots de passe ou informations d'accès,</w:t>
      </w:r>
    </w:p>
    <w:p>
      <w:pPr>
        <w:pStyle w:val="ListParagraph"/>
        <w:numPr>
          <w:ilvl w:val="0"/>
          <w:numId w:val="2"/>
        </w:numPr>
        <w:spacing w:after="90"/>
      </w:pPr>
      <w:r>
        <w:rPr>
          <w:color w:val="1F2937"/>
          <w:sz w:val="21"/>
          <w:szCs w:val="21"/>
        </w:rPr>
        <w:t xml:space="preserve">des données personnelles de tiers non anonymisées.</w:t>
      </w:r>
    </w:p>
    <w:p>
      <w:r>
        <w:br w:type="page"/>
      </w:r>
    </w:p>
    <w:p>
      <w:pPr>
        <w:pStyle w:val="Heading1"/>
        <w:pBdr>
          <w:bottom w:val="single" w:color="1E8A99" w:sz="8" w:space="6"/>
        </w:pBdr>
        <w:spacing w:after="200" w:before="480"/>
      </w:pPr>
      <w:r>
        <w:rPr>
          <w:b/>
          <w:bCs/>
          <w:color w:val="10263F"/>
          <w:sz w:val="30"/>
          <w:szCs w:val="30"/>
        </w:rPr>
        <w:t xml:space="preserve">Partie 6 — Guide de dépannage</w:t>
      </w:r>
    </w:p>
    <w:p>
      <w:pPr>
        <w:pStyle w:val="Heading2"/>
        <w:spacing w:after="140" w:before="320"/>
      </w:pPr>
      <w:r>
        <w:rPr>
          <w:b/>
          <w:bCs/>
          <w:color w:val="10263F"/>
          <w:sz w:val="23"/>
          <w:szCs w:val="23"/>
        </w:rPr>
        <w:t xml:space="preserve">6.1 Principe de diagnostic : un statut « réussi » ne garantit pas un résultat correct</w:t>
      </w:r>
    </w:p>
    <w:p>
      <w:pPr>
        <w:spacing w:after="160" w:line="300"/>
      </w:pPr>
      <w:r>
        <w:rPr>
          <w:b w:val="false"/>
          <w:bCs w:val="false"/>
          <w:i w:val="false"/>
          <w:iCs w:val="false"/>
          <w:color w:val="1F2937"/>
          <w:sz w:val="21"/>
          <w:szCs w:val="21"/>
        </w:rPr>
        <w:t xml:space="preserve">L'expérience TransferAI a montré à plusieurs reprises qu'un pipeline peut afficher un statut de succès alors que la fonctionnalité réelle est cassée (corps de requête vide envoyé à une API, résultats trouvés mais jamais transmis à l'étape suivante). Pour vérifier qu'une étape fonctionne vraiment, et pas seulement qu'elle n'a pas planté, il faut systématiquement inspecter les données réellement produites à chaque étape du pipeline, pas seulement son statut d'exécution.</w:t>
      </w:r>
    </w:p>
    <w:p>
      <w:pPr>
        <w:pStyle w:val="Heading2"/>
        <w:spacing w:after="140" w:before="320"/>
      </w:pPr>
      <w:r>
        <w:rPr>
          <w:b/>
          <w:bCs/>
          <w:color w:val="10263F"/>
          <w:sz w:val="23"/>
          <w:szCs w:val="23"/>
        </w:rPr>
        <w:t xml:space="preserve">6.2 Problèmes fréquents et solutions</w:t>
      </w:r>
    </w:p>
    <w:p>
      <w:pPr>
        <w:spacing w:after="100" w:before="200"/>
      </w:pPr>
      <w:r>
        <w:rPr>
          <w:b/>
          <w:bCs/>
          <w:color w:val="1E8A99"/>
          <w:sz w:val="21"/>
          <w:szCs w:val="21"/>
        </w:rPr>
        <w:t xml:space="preserve">Les réponses sont vagues ou trop génériques</w:t>
      </w:r>
    </w:p>
    <w:p>
      <w:pPr>
        <w:spacing w:after="160" w:line="300"/>
      </w:pPr>
      <w:r>
        <w:rPr>
          <w:b w:val="false"/>
          <w:bCs w:val="false"/>
          <w:i w:val="false"/>
          <w:iCs w:val="false"/>
          <w:color w:val="1F2937"/>
          <w:sz w:val="21"/>
          <w:szCs w:val="21"/>
        </w:rPr>
        <w:t xml:space="preserve">Cause probable : la question est trop vague, ou le document contenant la réponse n'est pas encore indexé. Solution : reformuler avec des mots-clés précis issus des titres des documents, ajouter du contexte (secteur, période, document spécifique), et vérifier que le document source a bien été intégré au dernier cycle d'ingestion.</w:t>
      </w:r>
    </w:p>
    <w:p>
      <w:pPr>
        <w:spacing w:after="100" w:before="200"/>
      </w:pPr>
      <w:r>
        <w:rPr>
          <w:b/>
          <w:bCs/>
          <w:color w:val="1E8A99"/>
          <w:sz w:val="21"/>
          <w:szCs w:val="21"/>
        </w:rPr>
        <w:t xml:space="preserve">Aucune source n'est citée dans la réponse</w:t>
      </w:r>
    </w:p>
    <w:p>
      <w:pPr>
        <w:spacing w:after="160" w:line="300"/>
      </w:pPr>
      <w:r>
        <w:rPr>
          <w:b w:val="false"/>
          <w:bCs w:val="false"/>
          <w:i w:val="false"/>
          <w:iCs w:val="false"/>
          <w:color w:val="1F2937"/>
          <w:sz w:val="21"/>
          <w:szCs w:val="21"/>
        </w:rPr>
        <w:t xml:space="preserve">Cause probable : la base documentaire ne contient pas encore l'information recherchée, ou le seuil de similarité configuré est trop strict pour le type de question posée. Solution : vérifier que la base contient bien des documents pertinents, et ajuster le seuil de similarité si un seuil trop élevé exclut systématiquement de bonnes réponses (un seuil autour de 0,5 est un bon compromis observé en pratique, contre un seuil de 0,7 souvent trop strict et 0,2 souvent trop permissif).</w:t>
      </w:r>
    </w:p>
    <w:p>
      <w:pPr>
        <w:spacing w:after="100" w:before="200"/>
      </w:pPr>
      <w:r>
        <w:rPr>
          <w:b/>
          <w:bCs/>
          <w:color w:val="1E8A99"/>
          <w:sz w:val="21"/>
          <w:szCs w:val="21"/>
        </w:rPr>
        <w:t xml:space="preserve">La réponse contient du texte incohérent</w:t>
      </w:r>
    </w:p>
    <w:p>
      <w:pPr>
        <w:spacing w:after="160" w:line="300"/>
      </w:pPr>
      <w:r>
        <w:rPr>
          <w:b w:val="false"/>
          <w:bCs w:val="false"/>
          <w:i w:val="false"/>
          <w:iCs w:val="false"/>
          <w:color w:val="1F2937"/>
          <w:sz w:val="21"/>
          <w:szCs w:val="21"/>
        </w:rPr>
        <w:t xml:space="preserve">Cause probable : un document source non exploitable en texte propre (présentation exportée en PDF, fichier binaire) a été ingéré malgré les filtres. Solution : vérifier la liste des formats de fichiers acceptés par le pipeline d'ingestion, et retirer de la base toute entrée dont le contenu semble corrompu.</w:t>
      </w:r>
    </w:p>
    <w:p>
      <w:pPr>
        <w:spacing w:after="100" w:before="200"/>
      </w:pPr>
      <w:r>
        <w:rPr>
          <w:b/>
          <w:bCs/>
          <w:color w:val="1E8A99"/>
          <w:sz w:val="21"/>
          <w:szCs w:val="21"/>
        </w:rPr>
        <w:t xml:space="preserve">La base documentaire contient des doublons</w:t>
      </w:r>
    </w:p>
    <w:p>
      <w:pPr>
        <w:spacing w:after="160" w:line="300"/>
      </w:pPr>
      <w:r>
        <w:rPr>
          <w:b w:val="false"/>
          <w:bCs w:val="false"/>
          <w:i w:val="false"/>
          <w:iCs w:val="false"/>
          <w:color w:val="1F2937"/>
          <w:sz w:val="21"/>
          <w:szCs w:val="21"/>
        </w:rPr>
        <w:t xml:space="preserve">Cause probable : absence d'une contrainte d'unicité lors de l'insertion des documents vectorisés. Solution : s'assurer qu'une clé de conflit (par exemple la combinaison document + numéro de fragment) est bien définie sur l'opération d'insertion, associée à une contrainte unique en base de données.</w:t>
      </w:r>
    </w:p>
    <w:p>
      <w:pPr>
        <w:spacing w:after="100" w:before="200"/>
      </w:pPr>
      <w:r>
        <w:rPr>
          <w:b/>
          <w:bCs/>
          <w:color w:val="1E8A99"/>
          <w:sz w:val="21"/>
          <w:szCs w:val="21"/>
        </w:rPr>
        <w:t xml:space="preserve">Une question hors sujet obtient une réponse au lieu d'une escalade</w:t>
      </w:r>
    </w:p>
    <w:p>
      <w:pPr>
        <w:spacing w:after="160" w:line="300"/>
      </w:pPr>
      <w:r>
        <w:rPr>
          <w:b w:val="false"/>
          <w:bCs w:val="false"/>
          <w:i w:val="false"/>
          <w:iCs w:val="false"/>
          <w:color w:val="1F2937"/>
          <w:sz w:val="21"/>
          <w:szCs w:val="21"/>
        </w:rPr>
        <w:t xml:space="preserve">Cause probable : le système compte un résultat vide comme une source valide au lieu de déclencher l'escalade prévue. Solution : filtrer explicitement les résultats vides ou sans contenu réel avant de décider si une source suffisamment pertinente a été trouvée.</w:t>
      </w:r>
    </w:p>
    <w:p>
      <w:pPr>
        <w:spacing w:after="100" w:before="200"/>
      </w:pPr>
      <w:r>
        <w:rPr>
          <w:b/>
          <w:bCs/>
          <w:color w:val="1E8A99"/>
          <w:sz w:val="21"/>
          <w:szCs w:val="21"/>
        </w:rPr>
        <w:t xml:space="preserve">L'escalade vers un conseiller humain échoue silencieusement</w:t>
      </w:r>
    </w:p>
    <w:p>
      <w:pPr>
        <w:spacing w:after="160" w:line="300"/>
      </w:pPr>
      <w:r>
        <w:rPr>
          <w:b w:val="false"/>
          <w:bCs w:val="false"/>
          <w:i w:val="false"/>
          <w:iCs w:val="false"/>
          <w:color w:val="1F2937"/>
          <w:sz w:val="21"/>
          <w:szCs w:val="21"/>
        </w:rPr>
        <w:t xml:space="preserve">Cause probable : un jeton d'authentification expiré, ou des identifiants de test codés en dur restés en production au lieu des vrais identifiants. Solution : vérifier la validité des accès utilisés pour l'escalade, et s'assurer qu'aucune valeur de test ne subsiste dans la configuration de production.</w:t>
      </w:r>
    </w:p>
    <w:p>
      <w:pPr>
        <w:spacing w:after="100" w:before="200"/>
      </w:pPr>
      <w:r>
        <w:rPr>
          <w:b/>
          <w:bCs/>
          <w:color w:val="1E8A99"/>
          <w:sz w:val="21"/>
          <w:szCs w:val="21"/>
        </w:rPr>
        <w:t xml:space="preserve">La réponse prend anormalement longtemps</w:t>
      </w:r>
    </w:p>
    <w:p>
      <w:pPr>
        <w:spacing w:after="160" w:line="300"/>
      </w:pPr>
      <w:r>
        <w:rPr>
          <w:b w:val="false"/>
          <w:bCs w:val="false"/>
          <w:i w:val="false"/>
          <w:iCs w:val="false"/>
          <w:color w:val="1F2937"/>
          <w:sz w:val="21"/>
          <w:szCs w:val="21"/>
        </w:rPr>
        <w:t xml:space="preserve">Cause probable : surcharge momentanée du service d'IA générative externe, ou latence réseau entre les composants. Solution : réessayer la même question — le problème est le plus souvent temporaire — et vérifier le statut du fournisseur d'IA en cas de blocage répété.</w:t>
      </w:r>
    </w:p>
    <w:p>
      <w:r>
        <w:br w:type="page"/>
      </w:r>
    </w:p>
    <w:p>
      <w:pPr>
        <w:pStyle w:val="Heading1"/>
        <w:pBdr>
          <w:bottom w:val="single" w:color="1E8A99" w:sz="8" w:space="6"/>
        </w:pBdr>
        <w:spacing w:after="200" w:before="480"/>
      </w:pPr>
      <w:r>
        <w:rPr>
          <w:b/>
          <w:bCs/>
          <w:color w:val="10263F"/>
          <w:sz w:val="30"/>
          <w:szCs w:val="30"/>
        </w:rPr>
        <w:t xml:space="preserve">Partie 7 — Conclusion et prochaines étapes</w:t>
      </w:r>
    </w:p>
    <w:p>
      <w:pPr>
        <w:pStyle w:val="Heading2"/>
        <w:spacing w:after="140" w:before="320"/>
      </w:pPr>
      <w:r>
        <w:rPr>
          <w:b/>
          <w:bCs/>
          <w:color w:val="10263F"/>
          <w:sz w:val="23"/>
          <w:szCs w:val="23"/>
        </w:rPr>
        <w:t xml:space="preserve">7.1 Points clés à retenir</w:t>
      </w:r>
    </w:p>
    <w:p>
      <w:pPr>
        <w:pStyle w:val="ListParagraph"/>
        <w:numPr>
          <w:ilvl w:val="0"/>
          <w:numId w:val="2"/>
        </w:numPr>
        <w:spacing w:after="90"/>
      </w:pPr>
      <w:r>
        <w:rPr>
          <w:color w:val="1F2937"/>
          <w:sz w:val="21"/>
          <w:szCs w:val="21"/>
        </w:rPr>
        <w:t xml:space="preserve">Un RAG combine une recherche documentaire intelligente et une IA rédactionnelle pour produire des réponses fiables et sourcées, ancrées dans les vrais documents d'une organisation.</w:t>
      </w:r>
    </w:p>
    <w:p>
      <w:pPr>
        <w:pStyle w:val="ListParagraph"/>
        <w:numPr>
          <w:ilvl w:val="0"/>
          <w:numId w:val="2"/>
        </w:numPr>
        <w:spacing w:after="90"/>
      </w:pPr>
      <w:r>
        <w:rPr>
          <w:color w:val="1F2937"/>
          <w:sz w:val="21"/>
          <w:szCs w:val="21"/>
        </w:rPr>
        <w:t xml:space="preserve">Ce n'est pas réservé à l'informatique : tous les métiers peuvent en bénéficier dès qu'ils s'appuient sur une documentation de référence — RH, Finance, Transport &amp; Logistique, Santé, et bien d'autres.</w:t>
      </w:r>
    </w:p>
    <w:p>
      <w:pPr>
        <w:pStyle w:val="ListParagraph"/>
        <w:numPr>
          <w:ilvl w:val="0"/>
          <w:numId w:val="2"/>
        </w:numPr>
        <w:spacing w:after="90"/>
      </w:pPr>
      <w:r>
        <w:rPr>
          <w:color w:val="1F2937"/>
          <w:sz w:val="21"/>
          <w:szCs w:val="21"/>
        </w:rPr>
        <w:t xml:space="preserve">Le gain se mesure sur des dimensions concrètes et mesurables : rapidité de recherche, disponibilité continue, cohérence des réponses, fraîcheur de l'information, charge réduite sur les experts, traçabilité.</w:t>
      </w:r>
    </w:p>
    <w:p>
      <w:pPr>
        <w:pStyle w:val="ListParagraph"/>
        <w:numPr>
          <w:ilvl w:val="0"/>
          <w:numId w:val="2"/>
        </w:numPr>
        <w:spacing w:after="90"/>
      </w:pPr>
      <w:r>
        <w:rPr>
          <w:color w:val="1F2937"/>
          <w:sz w:val="21"/>
          <w:szCs w:val="21"/>
        </w:rPr>
        <w:t xml:space="preserve">La qualité des réponses dépend directement de la qualité et de la mise à jour des documents déposés dans la base de connaissances.</w:t>
      </w:r>
    </w:p>
    <w:p>
      <w:pPr>
        <w:pStyle w:val="ListParagraph"/>
        <w:numPr>
          <w:ilvl w:val="0"/>
          <w:numId w:val="2"/>
        </w:numPr>
        <w:spacing w:after="90"/>
      </w:pPr>
      <w:r>
        <w:rPr>
          <w:color w:val="1F2937"/>
          <w:sz w:val="21"/>
          <w:szCs w:val="21"/>
        </w:rPr>
        <w:t xml:space="preserve">Toute question sans réponse fiable trouvée doit être automatiquement transmise à un humain — un système RAG bien conçu ne laisse jamais un utilisateur sans suite, et ne remplace jamais totalement le jugement humain sur les cas complexes.</w:t>
      </w:r>
    </w:p>
    <w:p>
      <w:pPr>
        <w:pStyle w:val="Heading2"/>
        <w:spacing w:after="140" w:before="320"/>
      </w:pPr>
      <w:r>
        <w:rPr>
          <w:b/>
          <w:bCs/>
          <w:color w:val="10263F"/>
          <w:sz w:val="23"/>
          <w:szCs w:val="23"/>
        </w:rPr>
        <w:t xml:space="preserve">7.2 Prochaine étape</w:t>
      </w:r>
    </w:p>
    <w:p>
      <w:pPr>
        <w:spacing w:after="160" w:line="300"/>
      </w:pPr>
      <w:r>
        <w:rPr>
          <w:b w:val="false"/>
          <w:bCs w:val="false"/>
          <w:i w:val="false"/>
          <w:iCs w:val="false"/>
          <w:color w:val="1F2937"/>
          <w:sz w:val="21"/>
          <w:szCs w:val="21"/>
        </w:rPr>
        <w:t xml:space="preserve">TransferAI Africa propose un diagnostic gratuit pour évaluer la base documentaire de votre organisation et identifier le périmètre d'un premier pilote RAG, avant toute extension à plus grande échelle.</w:t>
      </w:r>
    </w:p>
    <w:p>
      <w:pPr>
        <w:pStyle w:val="ListParagraph"/>
        <w:numPr>
          <w:ilvl w:val="0"/>
          <w:numId w:val="2"/>
        </w:numPr>
        <w:spacing w:after="90"/>
      </w:pPr>
      <w:r>
        <w:rPr>
          <w:color w:val="1F2937"/>
          <w:sz w:val="21"/>
          <w:szCs w:val="21"/>
        </w:rPr>
        <w:t xml:space="preserve">Email : contact@transferai.ci</w:t>
      </w:r>
    </w:p>
    <w:p>
      <w:pPr>
        <w:pStyle w:val="ListParagraph"/>
        <w:numPr>
          <w:ilvl w:val="0"/>
          <w:numId w:val="2"/>
        </w:numPr>
        <w:spacing w:after="90"/>
      </w:pPr>
      <w:r>
        <w:rPr>
          <w:color w:val="1F2937"/>
          <w:sz w:val="21"/>
          <w:szCs w:val="21"/>
        </w:rPr>
        <w:t xml:space="preserve">Site : www.transferai.ci</w:t>
      </w:r>
    </w:p>
    <w:p>
      <w:pPr>
        <w:pStyle w:val="ListParagraph"/>
        <w:numPr>
          <w:ilvl w:val="0"/>
          <w:numId w:val="2"/>
        </w:numPr>
        <w:spacing w:after="90"/>
      </w:pPr>
      <w:r>
        <w:rPr>
          <w:color w:val="1F2937"/>
          <w:sz w:val="21"/>
          <w:szCs w:val="21"/>
        </w:rPr>
        <w:t xml:space="preserve">Formation « L'IA au Bureau » — 29-30 juillet 2026, Riviera 3, Abidjan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2026-07-12T16:52:49.392Z</dcterms:created>
  <dcterms:modified xsi:type="dcterms:W3CDTF">2026-07-12T16:52:49.395Z</dcterms:modified>
</cp:coreProperties>
</file>

<file path=docProps/custom.xml><?xml version="1.0" encoding="utf-8"?>
<Properties xmlns="http://schemas.openxmlformats.org/officeDocument/2006/custom-properties" xmlns:vt="http://schemas.openxmlformats.org/officeDocument/2006/docPropsVTypes"/>
</file>