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B3F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TransferAI Africa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A020"/>
                <w:sz w:val="24"/>
                <w:szCs w:val="24"/>
              </w:rPr>
              <w:t xml:space="preserve">Solutions d'Intelligence Artificielle pour l'Afrique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B3F6E"/>
          <w:sz w:val="56"/>
          <w:szCs w:val="56"/>
        </w:rPr>
        <w:t xml:space="preserve">GUIDE COMPLET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8A020"/>
          <w:sz w:val="40"/>
          <w:szCs w:val="40"/>
        </w:rPr>
        <w:t xml:space="preserve">Recherche Documentaire Intelligente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0D7D6B"/>
          <w:sz w:val="28"/>
          <w:szCs w:val="28"/>
        </w:rPr>
        <w:t xml:space="preserve">Powered by RAG — Retrieval Augmented Generation</w:t>
      </w:r>
    </w:p>
    <w:p>
      <w:pPr>
        <w:pBdr>
          <w:bottom w:val="single" w:color="E8A020" w:sz="20" w:space="1"/>
        </w:pBdr>
        <w:spacing w:after="60" w:before="60"/>
      </w:pPr>
      <w:r>
        <w:t xml:space="preserve"/>
      </w:r>
    </w:p>
    <w:p>
      <w:pPr>
        <w:spacing w:after="100" w:before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0"/>
        <w:gridCol w:w="3100"/>
        <w:gridCol w:w="200"/>
        <w:gridCol w:w="3146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shd w:fill="1B3F6E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96"/>
                <w:szCs w:val="96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Retrieval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Recherche dans vos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propres documents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40"/>
                <w:szCs w:val="40"/>
              </w:rPr>
              <w:t xml:space="preserve">+</w:t>
            </w: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shd w:fill="0D7D6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96"/>
                <w:szCs w:val="96"/>
              </w:rPr>
              <w:t xml:space="preserve">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Augmented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BDDCC"/>
                <w:sz w:val="19"/>
                <w:szCs w:val="19"/>
              </w:rPr>
              <w:t xml:space="preserve">Enrichie avec 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CC"/>
                <w:sz w:val="19"/>
                <w:szCs w:val="19"/>
              </w:rPr>
              <w:t xml:space="preserve">extraits pertinents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40"/>
                <w:szCs w:val="40"/>
              </w:rPr>
              <w:t xml:space="preserve">+</w:t>
            </w:r>
          </w:p>
        </w:tc>
        <w:tc>
          <w:tcPr>
            <w:tcW w:type="dxa" w:w="3146"/>
            <w:tcBorders>
              <w:top w:val="none"/>
              <w:left w:val="none"/>
              <w:bottom w:val="none"/>
              <w:right w:val="none"/>
            </w:tcBorders>
            <w:shd w:fill="E8A020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96"/>
                <w:szCs w:val="96"/>
              </w:rPr>
              <w:t xml:space="preserve">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Generation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1B3F6E"/>
                <w:sz w:val="19"/>
                <w:szCs w:val="19"/>
              </w:rPr>
              <w:t xml:space="preserve">Rédige une réponse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F6E"/>
                <w:sz w:val="19"/>
                <w:szCs w:val="19"/>
              </w:rPr>
              <w:t xml:space="preserve">claire et sourcée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Bdr>
          <w:bottom w:val="single" w:color="E8A020" w:sz="12" w:space="1"/>
        </w:pBdr>
        <w:spacing w:after="60" w:before="60"/>
      </w:pPr>
      <w:r>
        <w:t xml:space="preserve"/>
      </w:r>
    </w:p>
    <w:p>
      <w:pPr>
        <w:spacing w:after="6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Formation IA Pratique aux Metiers — Juillet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 confidentiel — Usage interne TransferAI Africa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D7D6B"/>
          <w:sz w:val="20"/>
          <w:szCs w:val="20"/>
        </w:rPr>
        <w:t xml:space="preserve">contact@transferai.ci  |  www.transferai.ci</w:t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E8A020"/>
          <w:sz w:val="18"/>
          <w:szCs w:val="18"/>
        </w:rPr>
        <w:t xml:space="preserve">Mise à jour du contenu : 08 juillet 2026 — nouvelle interface web (partie 3.1), 5 nouveaux problèmes documentés et 2 fiches corrigées en partie 4, liens mis à jour en partie 5.2.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bookmarkStart w:name="part1" w:id="1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1 — Comprendre la Technologie RAG</w:t>
      </w:r>
      <w:bookmarkEnd w:id="1"/>
    </w:p>
    <w:p>
      <w:pPr>
        <w:pBdr>
          <w:bottom w:val="single" w:color="E8A020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1.1  Qu'est-ce que le RAG 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RAG — Retrieval Augmented Generation — est une architecture d'intelligence artificielle qui révolutionne la façon dont les organisations exploitent leur propre documentation. Contrairement à un chatbot généraliste qui répond uniquement depuis sa mémoire de formation, le RAG donne à l'IA accès à VOS documents, en temps réel.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1B3F6E" w:sz="12"/>
              <w:left w:val="thick" w:color="1B3F6E" w:sz="24"/>
              <w:bottom w:val="single" w:color="1B3F6E" w:sz="4"/>
              <w:right w:val="single" w:color="1B3F6E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1"/>
                <w:szCs w:val="21"/>
              </w:rPr>
              <w:t xml:space="preserve">Définition simple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>Le RAG, c'est comme avoir un expert qui connait parfaitement toute votre documentation et qui peut répondre instantanément à n'importe quelle question en citant ses sources.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46"/>
        <w:gridCol w:w="300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Lettre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</w:t>
            </w:r>
          </w:p>
        </w:tc>
        <w:tc>
          <w:tcPr>
            <w:tcW w:type="dxa" w:w="30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fait l'IA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pour vous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Retrieval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Recherche</w:t>
            </w:r>
          </w:p>
        </w:tc>
        <w:tc>
          <w:tcPr>
            <w:tcW w:type="dxa" w:w="3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Cherche et récupère les passages les plus pertinents de votre base documentaire en moins d'une seconde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Réponses basées sur VOS données, pas sur des informations génériques d'internet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2"/>
                <w:szCs w:val="22"/>
              </w:rPr>
              <w:t xml:space="preserve">Augmented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Augmentée</w:t>
            </w:r>
          </w:p>
        </w:tc>
        <w:tc>
          <w:tcPr>
            <w:tcW w:type="dxa" w:w="3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Enrichit son contexte avec les extraits retrouvés avant de formuler sa réponse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Réponses précises, complètes, contextualisées à votre réalité terrain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Generation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Génération</w:t>
            </w:r>
          </w:p>
        </w:tc>
        <w:tc>
          <w:tcPr>
            <w:tcW w:type="dxa" w:w="3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Rédige une réponse claire, structurée en langue naturelle, avec les sources citées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Un expert disponible 24h/24 qui ne se trompe pas et montre ses sources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1.2  Comment fonctionne le RAG — Sous le capot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Quand vous posez une question au système RAG de TransferAI, voici exactement ce qui se passe en quelques secondes :</w:t>
      </w:r>
    </w:p>
    <w:p>
      <w:pPr>
        <w:spacing w:after="100" w:before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B3F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Votre question est reçue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webhook n8n capture votre question envoyée via Chatwoot ou l'interface web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D7D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Vectorisation de la question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OpenAI transforme votre question en vecteur mathématique de 1536 dimensions (text-embedding-3-small)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E8A0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Recherche vectorielle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Supabase pgvector compare ce vecteur aux 5 000+ chunks indexés et retourne les 5 passages les plus similaires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B3F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Anonymisation des données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données sensibles (noms, emails, téléphones) sont remplacées par des tokens avant d'aller vers GPT-4o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D7D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Génération de la réponse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GPT-4o rédige une réponse structurée, basée uniquement sur les extraits fournis, avec les sources citées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E8A0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Désanonymisation &amp; livraison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tokens sont remplacés par les vraies données et la réponse est retournée en quelques secondes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1.3  Comprendre le Score de Similarité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document (et chaque question posée) est transformé en une « empreinte numérique » (un embedding) qui capture le sens du texte, pas seulement ses mots exacts. Le score de similarité, affiché entre 0 et 100 %, mesure à quel point la question et un morceau de document ont un sens proche : 100 % = quasi identique, 0 % = aucun rapport.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seuil de similarité (match_threshold côté technique) est un filtre appliqué avant même que GPT ne voie quoi que ce soit : seuls les morceaux dont le score dépasse ce seuil sont autorisés à remonter. En dessous, ils restent invisibles pour le système.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46"/>
        <w:gridCol w:w="36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utilisable ?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90-100%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Quasi doublon du texte de la question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Oui, quasi certain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75-90%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Même sujet précis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Oui, généralement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60-75%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Sujet lié mais pas forcément la question exacte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Parfois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40-60%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Même thématique large, réponse improbable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Rarement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&lt; 40%</w:t>
            </w:r>
          </w:p>
        </w:tc>
        <w:tc>
          <w:tcPr>
            <w:tcW w:type="dxa" w:w="4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Bruit, pas de rapport réel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Non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left w:val="single" w:color="1B3F6E" w:sz="18" w:space="8"/>
        </w:pBdr>
        <w:shd w:fill="D9E8F5" w:val="clear"/>
        <w:spacing w:after="200" w:before="120"/>
        <w:ind w:left="120"/>
      </w:pPr>
      <w:r>
        <w:rPr>
          <w:rFonts w:ascii="Arial" w:cs="Arial" w:eastAsia="Arial" w:hAnsi="Arial"/>
          <w:i/>
          <w:iCs/>
          <w:color w:val="1B3F6E"/>
          <w:sz w:val="20"/>
          <w:szCs w:val="20"/>
        </w:rPr>
        <w:t xml:space="preserve">À retenir pour la démo : un score affiché ne garantit pas une réponse utile. Le système reste honnête — si le contenu réel ne correspond pas assez à la question, l’IA répond « je n’ai pas trouvé cette information » plutôt que d’inventer, même quand une source apparaît dans la liste. Voir la partie 3.2 pour des exemples réels à chaque niveau de score.</w:t>
      </w:r>
    </w:p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2" w:id="2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2 — L'Histoire TransferAI &amp; Sa Base de Connaissance</w:t>
      </w:r>
      <w:bookmarkEnd w:id="2"/>
    </w:p>
    <w:p>
      <w:pPr>
        <w:pBdr>
          <w:bottom w:val="single" w:color="0D7D6B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2.1  Le Défi de TransferAI Africa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TransferAI Africa accompagne des entreprises africaines dans leur transition vers l'intelligence artificielle. En 2026, l'équipe fait face à un défi commun à toutes les organisations en croissance rapide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1"/>
                <w:szCs w:val="21"/>
              </w:rPr>
              <w:t xml:space="preserve">Le problème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>Des centaines de documents internes — procédures, guides, réglementations, decks sectoriels — dispersés sur des drives, impossible à retrouver rapidement. Quand un consultant devait répondre à un client sur la réglementation UEMOA ou les étapes d'un audit IA, il perdait 30 minutes à chercher le bon document.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>Les consultants perdaient en moyenne 2h par jour à chercher des informations dans leurs propres documents.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2.2  La Solution : Une Base de Connaissance RAG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L'équipe TransferAI a décidé de construire son propre système RAG en utilisant les outils qu'elle maîtrise : n8n pour l'orchestration, Supabase pour le stockage vectoriel, et GPT-4o pour la génération.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7D6B"/>
          <w:sz w:val="23"/>
          <w:szCs w:val="23"/>
        </w:rPr>
        <w:t xml:space="preserve">La Base Documentaire — 856 fichiers organisés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Voici la structure de la base de connaissance TransferAI, construite lors de ce projet :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46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2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Utilité RAG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Procedures Internes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Business plans, roadmaps, admin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Plans stratégiques, guides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60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internes, processus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Reglementation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RGPD, veille UEMOA/BCEAO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Cadre légal, conformité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6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Conformité, audits réglementaires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Guides &amp; Formations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Catalogues, kits, mini-guides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Formation IA, méthodologies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162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formation, pédagogie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Workflows Automatisation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Guides n8n, Supabase, Chatwoot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76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Support technique, débogage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Prospection &amp; CRM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Pipelines, OpenClaw, CRM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Outils commerciaux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82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commerciales, clients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Decks Sectoriels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 secteurs : Banque, Telecom, Santé...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Pitch decks, analyses secteur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97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secteur, use cases 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Knowledge Base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FAQ, KB complète, chatbot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Base de connaissance générale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14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générales TransferAI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2.3  La Transformation : Avant / Après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"/>
        <w:gridCol w:w="4786"/>
      </w:tblGrid>
      <w:t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le RAG</w:t>
            </w:r>
          </w:p>
        </w:tc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78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APRES le RAG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thick" w:color="C0392B" w:sz="12"/>
              <w:bottom w:val="single" w:color="DDDDDD" w:sz="1"/>
              <w:right w:val="none"/>
            </w:tcBorders>
            <w:shd w:fill="FE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Chercher dans des emails et drives disparates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30 min perdues en moyenne par recherche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Informations souvent obsolètes ou incomplètes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Impossible de savoir d'où vient l'information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Charge mentale élevée pour les consultants</w:t>
            </w:r>
          </w:p>
        </w:tc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786"/>
            <w:tcBorders>
              <w:top w:val="single" w:color="DDDDDD" w:sz="1"/>
              <w:left w:val="thick" w:color="0D7D6B" w:sz="12"/>
              <w:bottom w:val="single" w:color="DDDDDD" w:sz="1"/>
              <w:right w:val="none"/>
            </w:tcBorders>
            <w:shd w:fill="D5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Une question en langage naturel, une réponse en 3 sec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2h/jour récupérées par consultant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Base synchronisée toutes les 6 heures automatiquement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Sources citées avec liens vers les documents originaux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Consultants focusés sur la valeur, pas la recherche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3" w:id="3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3 — Guide Utilisateur : Comment Poser les Bonnes Questions</w:t>
      </w:r>
      <w:bookmarkEnd w:id="3"/>
    </w:p>
    <w:p>
      <w:pPr>
        <w:pBdr>
          <w:bottom w:val="single" w:color="1B3F6E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3.1  Accéder au Système RAG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système RAG TransferAI est accessible via trois canaux (mis à jour le 08 juillet 2026 : ajout de l’interface web) :</w:t>
      </w:r>
    </w:p>
    <w:p>
      <w:pPr>
        <w:spacing w:after="6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46"/>
      </w:tblGrid>
      <w:tr>
        <w:trPr>
          <w:tblHeader/>
        </w:trP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d'accès</w:t>
            </w:r>
          </w:p>
        </w:tc>
        <w:tc>
          <w:tcPr>
            <w:tcW w:type="dxa" w:w="49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l'utiliser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Chatwoot (Interface principale)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app.chatwoot.com — Compte 163278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Ouvrez une conversation, tapez votre question en français ou anglais, envoyez. La réponse arrive en 3-8 secondes avec les sources.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2"/>
                <w:szCs w:val="22"/>
              </w:rPr>
              <w:t xml:space="preserve">Interface Web (nouveau — 08/07/2026)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7D6B"/>
                <w:sz w:val="18"/>
                <w:szCs w:val="18"/>
              </w:rPr>
              <w:t xml:space="preserve">www.transferai.ci/demo/recherche-documentaire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Ouvrez la page dans un navigateur, saisissez le code d’accès (ZavRYCJ8xyHVY4-jAtUb1Ijz, demandé une fois par session), tapez votre question, cliquez sur “Lancer la recherche”. Aucune compétence technique requise — le point d’entrée le plus simple pour un collègue qui ne connaît ni Chatwoot ni les API.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API Webhook (Intégration)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 /webhook/recherche-documentaire (externe) ou /webhook/recherche-documentaire-interne (interne)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Pour les développeurs : envoyez une requête JSON avec question, utilisateur et session_id. Le endpoint “externe” (workflow Recherche_Documentaire_RAG_v4_complet) anonymise les données et escalade vers Chatwoot si aucune réponse fiable n’est trouvée ; le endpoint “interne” (workflow Recherche_Documentaire_RAG) est plus simple, réservé à l’équipe.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3.2  Exemples de Questions — Testées en direct contre la base réelle (09/07/2026, après correctif)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10 questions ci-dessous ont été posées directement au RAG en production. Un premier test le 09/07 avait révélé que 226 des 257 morceaux de documents (88 %) n’avaient jamais été vectorisés, limitant fortement la couverture réelle (4 questions sur 10 sans aucune source). Deux correctifs ont été appliqués le jour même : recalcul des embeddings manquants (couverture désormais 257/257) et relèvement du seuil de similarité de 0.2 à 0.5 pour filtrer le bruit sans exclure les bonnes réponses. Après correctif, 9 questions sur 10 obtiennent une réponse fiable et sourcée.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600"/>
        <w:gridCol w:w="4896"/>
      </w:tblGrid>
      <w:tr>
        <w:trPr>
          <w:tblHeader/>
        </w:trPr>
        <w:tc>
          <w:tcPr>
            <w:tcW w:type="dxa" w:w="8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posée en démo</w:t>
            </w:r>
          </w:p>
        </w:tc>
        <w:tc>
          <w:tcPr>
            <w:tcW w:type="dxa" w:w="489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illustre pour les participants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77%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 couvre le jour 2 de la formation sur la gestion documentaire et l’IA responsable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détaillée et exacte, citant la bonne section du programme.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78%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 cas d’usage IA existe pour le dossier de crédit KYC et la veille réglementaire BCEAO-UEMOA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détaillée et exacte sur un cas d’usage sectoriel réel.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76%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Comment fonctionne le cas d’usage de courrier automatique avec validation humaine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complète (avant backfill : 51 %, non exploitable de façon fiable).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54%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Quelle est l’approche pratique adaptée aux environnements sensibles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cohérente (avant backfill : 45 %).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62%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Quels livrables individuels reçoivent les participants après la formation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détaillée (attestation, etc.) — avant backfill : 57 %.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63%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Qui est le public concerné par le programme de formation IA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cohérente (avant backfill : 45 %, le système répondait « je n’ai pas trouvé » malgré une source existante).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61%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Quelle est l’offre commerciale globale de TransferAI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détaillée (avant backfill : 0 source, malgré un document dédié existant — voir guide troubleshooting section 3.10).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69%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Quels sont les différenciateurs de TransferAI par rapport aux autres organismes de formation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Réponse détaillée (avant backfill : 0 source).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74%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 cas d’usage IA concerne la recherche documentaire intelligente (RAG)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Trouve le bon document (avant backfill : 0 source, malgré un document existant mot pour mot).</w:t>
            </w:r>
          </w:p>
        </w:tc>
      </w:tr>
      <w:tr>
        <w:tc>
          <w:tcPr>
            <w:tcW w:type="dxa" w:w="85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0%</w:t>
            </w:r>
          </w:p>
        </w:tc>
        <w:tc>
          <w:tcPr>
            <w:tcW w:type="dxa" w:w="4600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Quelle est la météo à Abidjan demain ?</w:t>
            </w:r>
          </w:p>
        </w:tc>
        <w:tc>
          <w:tcPr>
            <w:tcW w:type="dxa" w:w="4896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Hors-sujet total → le RAG refuse toujours de répondre, ne dérive pas, ne hallucine jamais — seul exemple de refus conservé dans la liste pour illustrer le garde-fou.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left w:val="single" w:color="1B3F6E" w:sz="18" w:space="8"/>
        </w:pBdr>
        <w:shd w:fill="D9E8F5" w:val="clear"/>
        <w:spacing w:after="200" w:before="120"/>
        <w:ind w:left="120"/>
      </w:pPr>
      <w:r>
        <w:rPr>
          <w:rFonts w:ascii="Arial" w:cs="Arial" w:eastAsia="Arial" w:hAnsi="Arial"/>
          <w:i/>
          <w:iCs/>
          <w:color w:val="1B3F6E"/>
          <w:sz w:val="20"/>
          <w:szCs w:val="20"/>
        </w:rPr>
        <w:t xml:space="preserve">Comment présenter ça aux participants : questions 1-9 pour montrer des réponses fiables et sourcées à des niveaux de score variés (54 % à 78 %) ; question 10 pour montrer que le système refuse toujours d’inventer une réponse hors de son périmètre documentaire, même à seuil plus permissif — c’est le message rassurant à faire passer sur la fiabilité et la sécurité du RAG.</w:t>
      </w:r>
    </w:p>
    <w:p>
      <w:pPr>
        <w:pBdr>
          <w:left w:val="single" w:color="E8A020" w:sz="18" w:space="8"/>
        </w:pBdr>
        <w:shd w:fill="FEF3DC" w:val="clear"/>
        <w:spacing w:after="200" w:before="120"/>
        <w:ind w:left="120"/>
      </w:pPr>
      <w:r>
        <w:rPr>
          <w:rFonts w:ascii="Arial" w:cs="Arial" w:eastAsia="Arial" w:hAnsi="Arial"/>
          <w:i/>
          <w:iCs/>
          <w:color w:val="1B3F6E"/>
          <w:sz w:val="20"/>
          <w:szCs w:val="20"/>
        </w:rPr>
        <w:t xml:space="preserve">Recommandation avant le 18 juillet : refaire un test à blanc de ces 10 questions la veille de la formation. Les scores peuvent légèrement varier si de nouveaux documents sont ingérés entre-temps (cycle d’ingestion automatique toutes les 6h). Voir aussi la grille de lecture des scores en partie 1.3 pour expliquer aux participants comment interpréter chaque pourcentage affiché.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3.3  Bonnes Pratiques — Formuler une Bonne Question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"/>
        <w:gridCol w:w="5042"/>
      </w:tblGrid>
      <w:tr>
        <w:trPr>
          <w:tblHeader/>
        </w:trPr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peu efficaces</w:t>
            </w:r>
          </w:p>
        </w:tc>
        <w:tc>
          <w:tcPr>
            <w:tcW w:type="dxa" w:w="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très efficaces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Parle-moi de la banque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Quels sont les 3 principaux cas d'usage IA dans les banques africaines selon nos decks ?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Réglementation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Quelles sont les obligations légales pour une fintech en Côte d'Ivoire en 2026 ?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Comment on fait l'audit ?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Quelles sont les étapes de l'audit IA de TransferAI pour un client industrie manufacturière ?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Donne-moi des infos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 est le modèle de tarification de TransferAI pour les entreprises de plus de 500 employés ?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4" w:id="4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4 — Guide de Dépannage</w:t>
      </w:r>
      <w:bookmarkEnd w:id="4"/>
    </w:p>
    <w:p>
      <w:pPr>
        <w:pBdr>
          <w:bottom w:val="single" w:color="C0392B" w:sz="10" w:space="1"/>
        </w:pBd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guide couvre les problèmes les plus fréquents. Pour chaque problème, nous indiquons la sévérité, la cause probable et les actions correctives.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2"/>
        <w:gridCol w:w="3082"/>
        <w:gridCol w:w="3582"/>
      </w:tblGrid>
      <w:tr>
        <w:tc>
          <w:tcPr>
            <w:tcW w:type="dxa" w:w="3082"/>
            <w:tcBorders>
              <w:top w:val="single" w:color="AADDCC" w:sz="1"/>
              <w:left w:val="single" w:color="AADDCC" w:sz="1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D6B"/>
                <w:sz w:val="19"/>
                <w:szCs w:val="19"/>
              </w:rPr>
              <w:t xml:space="preserve">🟢  FAIBLE — Gêne mineure, solution rapide</w:t>
            </w:r>
          </w:p>
        </w:tc>
        <w:tc>
          <w:tcPr>
            <w:tcW w:type="dxa" w:w="3082"/>
            <w:tcBorders>
              <w:top w:val="single" w:color="FFDDAA" w:sz="1"/>
              <w:left w:val="single" w:color="FFDDAA" w:sz="1"/>
              <w:bottom w:val="single" w:color="FFDDAA" w:sz="1"/>
              <w:right w:val="single" w:color="FFDDAA" w:sz="1"/>
            </w:tcBorders>
            <w:shd w:fill="FE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A020"/>
                <w:sz w:val="19"/>
                <w:szCs w:val="19"/>
              </w:rPr>
              <w:t xml:space="preserve">🟡  MOYEN — Impact partiel sur l'usage</w:t>
            </w:r>
          </w:p>
        </w:tc>
        <w:tc>
          <w:tcPr>
            <w:tcW w:type="dxa" w:w="3582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ELEVÉ — Système partiellement ou totalement arrêté</w:t>
            </w:r>
          </w:p>
        </w:tc>
      </w:tr>
    </w:tbl>
    <w:p>
      <w:pPr>
        <w:spacing w:after="6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0D7D6B" w:sz="12"/>
              <w:left w:val="thick" w:color="0D7D6B" w:sz="24"/>
              <w:bottom w:val="single" w:color="0D7D6B" w:sz="4"/>
              <w:right w:val="single" w:color="0D7D6B" w:sz="4"/>
            </w:tcBorders>
            <w:shd w:fill="D5F0E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4"/>
                <w:szCs w:val="24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🟢  FAIBLE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Les réponses sont vagues ou trop génériques</w:t>
            </w:r>
          </w:p>
        </w:tc>
      </w:tr>
      <w:tr>
        <w:tc>
          <w:tcPr>
            <w:tcW w:type="dxa" w:w="9746"/>
            <w:tcBorders>
              <w:top w:val="none"/>
              <w:left w:val="thick" w:color="0D7D6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réponse est correcte mais manque de détails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L'IA répond de façon générale sans citer de source TransferAI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réponse ressemble à une réponse ChatGPT standard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question est trop vague (voir § 3.3)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document contenant la réponse n'est pas encore indexé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chunk pertinent est trop dilué dans la 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Reformulez avec des mots-clés précis issus des titres de vos documents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Ajoutez le contexte : secteur, client, date, document spécifique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que le document est bien dans le Drive (dossiers 01 à 07)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Si le doc est nouveau : attendez le prochain cycle d'ingestion (toutes les 6h) ou forcez manuellement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0D7D6B" w:sz="12"/>
              <w:left w:val="thick" w:color="0D7D6B" w:sz="24"/>
              <w:bottom w:val="single" w:color="0D7D6B" w:sz="4"/>
              <w:right w:val="single" w:color="0D7D6B" w:sz="4"/>
            </w:tcBorders>
            <w:shd w:fill="D5F0E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4"/>
                <w:szCs w:val="24"/>
              </w:rPr>
              <w:t xml:space="preserve">P2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🟢  FAIBLE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La réponse prend plus de 15 secondes</w:t>
            </w:r>
          </w:p>
        </w:tc>
      </w:tr>
      <w:tr>
        <w:tc>
          <w:tcPr>
            <w:tcW w:type="dxa" w:w="9746"/>
            <w:tcBorders>
              <w:top w:val="none"/>
              <w:left w:val="thick" w:color="0D7D6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Attente anormalement longue avant la réponse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Timeout côté Chatwoot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Surcharge momentanée de l'API OpenAI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Latence réseau entre le serveur n8n et Supabase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Réessayez la même question — la plupart du temps ça passe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Si le problème persiste &gt; 3 essais : vérifiez le statut OpenAI sur status.openai.com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que le workflow RAG est bien en mode Published dans n8n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P3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Aucune source n'est citée dans la réponse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réponse ne mentionne aucun document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Absence de références dans la section 'Sources utilisées'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base de données documents est vide ou trop récente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similarité vectorielle est inférieure au seuil (0.5 est la valeur validée en production depuis le 09/07/2026 sur les 3 workflows RAG et l’interface web, après backfill des embeddings manquants ; un seuil comme 0.7 exclut parfois de bonnes réponses, un seuil comme 0.2 laisse passer trop de bruit)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node 'Recherche Supabase Vector' a échoué silencieusement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le compte Supabase : table 'documents' doit avoir &gt; 0 lignes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Réduisez le seuil de similarité à 0.5 (valeur validée en production le 09/07/2026) dans le node Recherche Supabase Vector — champ match_threshold du corps JSON envoyé à match_documents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Relancez manuellement le workflow d'ingestion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Testez avec une question très précise reprenant un titre exact de document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P4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Erreur 'Authorization failed — Expected 3 parts in JWT'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workflow RAG échoue sur le node 'Recherche Supabase Vector'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Message d'erreur contenant 'JWT' ou 'Authorization failed'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Conflit entre la credential stockée dans n8n et les headers explicites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credential 'Header Auth' injecte un token qui écrase les headers Supabase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Ouvrez le node HTTP Request incriminé dans n8n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que la section 'Authentication' est vide (None) — pas de credential sélectionnée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Assurez-vous que les headers apikey et Authorization sont en mode 'Explicit Headers'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Ré-importez le fichier RAG_fixed.json si le problème persiste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P5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 workflow d'ingestion ne remplit pas Supabase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L'ingestion se termine en 'Succeeded' mais la table documents reste vide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 résultats dans la base après plusieurs exécutions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Mise à jour 08/07/2026 — correction de cette fiche : le champ specifyBody doit valoir exactement “json” (pas “string”, ni “=json” avec un signe = en trop qui a été la cause réelle observée en production) ; le vrai bug est que jsonBody, qui contient le corps réel, est alors ignoré et un corps vide part vers Supabase, sans faire échouer l’exécution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contrainte UNIQUE (source_id, chunk_index) manque sur la table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node 'Découper en chunks' retourne 0 items (fichiers binaires non lisibles)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Supabase SQL Editor : vérifier que la table 'documents' existe avec la colonne 'embedding vector(1536)'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Vérifier la contrainte : ALTER TABLE documents ADD CONSTRAINT ... UNIQUE (source_id, chunk_index)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Dans n8n : ouvrir le node HTTP Request concerné et confirmer que specifyBody = “json” (exactement, sans espace ni signe = supplémentaire) ET que jsonBody contient bien le corps attendu — ne jamais se fier au seul statut “Succeeded” de l’exécution pour juger qu’un appel envoie réellement ses données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Vérifier que les fichiers .txt sont présents dans les dossiers Drive (pas seulement les DOCX)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Test manuel : curl -X POST .../rest/v1/documents avec un vecteur de test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P6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Google Drive — 'Cannot read properties of undefined (reading execute)'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Erreur immédiate sur le node Drive dans le workflow d'ingestion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L'opération 'list' n'est pas reconnue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node Google Drive v3 ne supporte PAS l'opération 'list' pour les fichiers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Incompatibilité entre la version du node et l'API attendue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Remplacer le node Drive 'list' par un HTTP Request vers l'API Google Drive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URL : GET https://www.googleapis.com/drive/v3/files?q='{id}'+in+parents+...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Authentication : Predefined Credential Type → Google Drive OAuth2 API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Ajouter un node Code 'Aplatir liste fichiers' après pour extraire files[]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P7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— Système partiellement ou totalement arrêté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 workflow affiche “Succeeded” mais la recherche vectorielle n’a jamais eu lieu (corps de requête vide)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Aucune erreur visible dans n’importe quel onglet Executions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Les réponses ne citent jamais aucune source, même sur des questions dont on sait que la documentation existe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node “Recherche Supabase Vector” produit un item vide ({}) au lieu des documents attendus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champ specifyBody vaut “=json” (avec un = en trop) au lieu de “json” — ce n’est pas un champ expression, une bascule d’interface entre les modes “Using Fields Below” et “Using JSON” peut corrompre sa valeur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vrai corps de requête, stocké dans jsonBody, est alors ignoré et un corps vide part vers l’API Supabase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Ouvrir chaque node HTTP Request du workflow et vérifier parameters.specifyBody === “json” exactement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Vérifier aussi que jsonBody contient bien le corps attendu (l’embedding, le seuil, le nombre de résultats)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 jamais se fier au statut “Succeeded” seul — toujours ouvrir le panneau OUTPUT du node et compter les items réellement produits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P8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— Système partiellement ou totalement arrêté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Une question hors-sujet obtient une vraie réponse au lieu d’escalader vers un conseiller humain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L’IA répond librement, hors du périmètre documentaire, sans jamais déclencher l’escalade Chatwoot prévue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 réponse cite “1 source” avec un titre générique (“Document”) et une similarité de 0%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n8n renvoie un item vide ({}) — et non 0 item — quand la recherche vectorielle ne trouve réellement aucun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code qui compte les sources trouvées ne filtrait pas cet item vide, donc le nombre de sources était toujours ≥ 1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Dans le node qui construit le contexte RAG, filtrer les résultats sur la présence d’un vrai titre ou contenu avant de compter les sources : ne garder que les items où titre ou contenu existe réellement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Retester avec une question volontairement hors-sujet pour confirmer que l’escalade se déclenche bien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P9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— Impact partiel sur l'usage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L’escalade vers un conseiller humain échoue silencieusement (aucune notification Chatwoot créée)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prospect reçoit bien le message “un conseiller va vous recontacter”, mais aucune conversation n’apparaît réellement dans Chatwoot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 agent n’est notifié d’une question sans réponse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token API Chatwoot codé en dur dans les nodes d’escalade est expiré ou a été invalidé par la régénération d’un token sur un autre workflow du même compte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Les champs inbox_id et contact_id utilisés pour créer la conversation contiennent des valeurs factices (1) au lieu des vrais identifiants du compte Chatwoot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Régénérer un token Chatwoot valide (Profil → Access Token) et le reporter sur tous les nodes concernés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Vérifier les vrais inbox_id via GET /api/v1/accounts/{account_id}/inboxes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Créer ou identifier un contact dédié aux escalades système plutôt que d’utiliser contact_id: 1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Ajouter onError: continueRegularOutput sur ces nodes pour que le webhook réponde toujours à l’appelant même si la notification interne échoue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P10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— Système partiellement ou totalement arrêté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Les réponses WhatsApp ne citent jamais aucune source RAG, malgré une recherche documentaire qui fonctionne correctement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compteur interne de sources trouvées (rag_sources_count) reste à 0 dans 100% des conversations, même sur des questions dont la documentation existe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L’IA répond correctement mais jamais de façon spécifiquement ancrée dans les documents TransferAI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node qui construit le prompt envoyé à GPT ne lit que le premier résultat renvoyé par n8n via .first(), alors qu’une réponse contenant plusieurs documents est éclatée par n8n en autant d’items séparés — un seul document (ou aucun) était donc jamais lu, peu importe le nombre réel de résultats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Remplacer la lecture par $(‘Nom du node de recherche’).all().map(item ⇒ item.json), puis filtrer les items sans titre ni contenu réel avant de les injecter dans le prompt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Valider hors-ligne en rejouant les données d’une exécution passée avant de déployer, plutôt que de tester en direct sur un canal client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P11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— Impact partiel sur l'usage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Un message généré par l’IA n’arrive jamais sur WhatsApp, malgré une exécution “Succeeded”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Toutes les étapes du workflow s’exécutent sans erreur apparente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node d’envoi vers Chatwoot renvoie en réalité {"error": "Invalid Access Token"} dans sa sortie, invisible tant qu’on ne l’ouvre pas explicitement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 compte Chatwoot n’a qu’un seul token d’accès agent actif à la fois : régénérer ce token pour corriger un autre workflow du même compte invalide silencieusement l’ancien token encore utilisé ailleurs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Les nodes concernés ont neverError activé dans leurs options, donc l’échec ne fait jamais planter l’exécution n8n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Après toute régénération d’un token Chatwoot, mettre à jour TOUS les workflows connus du même compte, pas seulement celui qu’on est en train de corriger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Ouvrir systématiquement la sortie réelle des nodes vers Chatwoot (pas seulement le statut d’exécution) pour vérifier l’absence du champ error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Confirmer la livraison en envoyant un vrai message de test et en vérifiant sa réception sur le téléphone, pas seulement dans les logs n8n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4.7  Checklist de Vérification Quotidienne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Effectuez ces vérifications chaque matin pour garantir le bon fonctionnement du système RAG :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46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vérifier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Table 'documents' contient des enregistrements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Supabase → Table Editor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Workflow RAG est en mode 'Published'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n8n → Workflow 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Workflow Ingestion a tourné dans les dernières 6h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n8n → Executions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Clé API OpenAI est valide (non expirée)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Credential Google Drive OAuth est actif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n8n → Credentials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Nouveaux documents ajoutés dans les sous-dossiers Drive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Au besoin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5" w:id="5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5 — Contacts &amp; Ressources</w:t>
      </w:r>
      <w:bookmarkEnd w:id="5"/>
    </w:p>
    <w:p>
      <w:pPr>
        <w:pBdr>
          <w:bottom w:val="single" w:color="1B3F6E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5.1  Contacts Support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46"/>
        <w:gridCol w:w="4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quel problème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Administrateur Système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Équipe Technique TransferAI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Erreurs workflows n8n, Supabase, credentials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Support Formation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Formation IA — Juillet 2026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sur le contenu du guide, cas d'usage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Manager des Opérations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contact@transferai.ci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Escalades, décisions stratégiques base documentaire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5.2  Liens Utiles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2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Interface n8n (workflows)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https://n8n-pxlk.srv1480638.hstgr.cloud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Base de données Supabase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https://wlhznciwuofueffyoflo.supabase.co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Chatwoot (interface client)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https://app.chatwoot.com — Compte 163278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Google Drive — Base documentaire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Base documentaire RAG / (7 sous-dossiers)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Webhook RAG (externe)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POST /webhook/recherche-documentaire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Webhook RAG (interne)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POST /webhook/recherche-documentaire-interne (workflow Recherche_Documentaire_RAG)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Interface Web RAG (nouveau)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https://www.transferai.ci/demo/recherche-documentaire — protégée par code d’accès depuis le 09/07/2026 (ZavRYCJ8xyHVY4-jAtUb1Ijz), demandé une fois par session de navigation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Statut OpenAI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https://status.openai.com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E8A020" w:sz="16" w:space="1"/>
        </w:pBdr>
        <w:spacing w:after="60" w:before="60"/>
      </w:pPr>
      <w:r>
        <w:t xml:space="preserve"/>
      </w:r>
    </w:p>
    <w:p>
      <w:pPr>
        <w:spacing w:after="6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B3F6E"/>
          <w:sz w:val="20"/>
          <w:szCs w:val="20"/>
        </w:rPr>
        <w:t xml:space="preserve">TransferAI Africa — Formation IA Pratique aux Métiers — Juillet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 document est mis à jour automatiquement à chaque cycle de formation.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D7D6B"/>
          <w:sz w:val="20"/>
          <w:szCs w:val="20"/>
        </w:rPr>
        <w:t xml:space="preserve">www.transferai.ci  |  contact@transferai.ci</w:t>
      </w:r>
    </w:p>
    <w:sectPr>
      <w:headerReference w:type="default" r:id="rId9"/>
      <w:footerReference w:type="default" r:id="rId1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7"/>
        <w:szCs w:val="17"/>
      </w:rPr>
      <w:t xml:space="preserve">Confidentiel — Usage interne</w:t>
    </w:r>
    <w:r>
      <w:rPr>
        <w:rFonts w:ascii="Arial" w:cs="Arial" w:eastAsia="Arial" w:hAnsi="Arial"/>
        <w:color w:val="555555"/>
        <w:sz w:val="17"/>
        <w:szCs w:val="17"/>
      </w:rPr>
      <w:t xml:space="preserve">	Page </w:t>
    </w:r>
    <w:r>
      <w:rPr>
        <w:rFonts w:ascii="Arial" w:cs="Arial" w:eastAsia="Arial" w:hAnsi="Arial"/>
        <w:b/>
        <w:bCs/>
        <w:color w:val="1B3F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6E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F6E"/>
        <w:sz w:val="18"/>
        <w:szCs w:val="18"/>
      </w:rPr>
      <w:t xml:space="preserve">TransferAI Africa  —  Guide RAG</w:t>
    </w:r>
    <w:r>
      <w:rPr>
        <w:rFonts w:ascii="Arial" w:cs="Arial" w:eastAsia="Arial" w:hAnsi="Arial"/>
        <w:color w:val="555555"/>
        <w:sz w:val="18"/>
        <w:szCs w:val="18"/>
      </w:rPr>
      <w:t xml:space="preserve">	Formation IA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F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7D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2026-07-03T00:35:31.322Z</dcterms:created>
  <dcterms:modified xsi:type="dcterms:W3CDTF">2026-07-03T00:35:31.323Z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