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jc w:val="right"/>
      </w:pPr>
      <w:r>
        <w:rPr>
          <w:rFonts w:ascii="Aptos" w:hAnsi="Aptos"/>
          <w:b w:val="0"/>
          <w:i w:val="0"/>
          <w:color w:val="6B7C93"/>
          <w:sz w:val="23"/>
        </w:rPr>
        <w:t>Mini-catalogue sectoriel | IA métier, formation et accompagnement</w:t>
      </w:r>
    </w:p>
    <w:p>
      <w:pPr>
        <w:spacing w:after="0"/>
      </w:pPr>
      <w:r>
        <w:rPr>
          <w:rFonts w:ascii="Aptos Display" w:hAnsi="Aptos Display"/>
          <w:b/>
          <w:i w:val="0"/>
          <w:color w:val="EF6C12"/>
          <w:sz w:val="36"/>
        </w:rPr>
        <w:t>MINI-CATALOGUE</w:t>
      </w:r>
    </w:p>
    <w:p>
      <w:pPr>
        <w:spacing w:after="40"/>
      </w:pPr>
      <w:r>
        <w:rPr>
          <w:rFonts w:ascii="Aptos Display" w:hAnsi="Aptos Display"/>
          <w:b/>
          <w:i w:val="0"/>
          <w:color w:val="1C3963"/>
          <w:sz w:val="52"/>
        </w:rPr>
        <w:t>SOLUTIONS IA ET FORMATIONS STRATÉGIQUES</w:t>
      </w:r>
    </w:p>
    <w:p>
      <w:pPr>
        <w:spacing w:after="320"/>
      </w:pPr>
      <w:r>
        <w:rPr>
          <w:rFonts w:ascii="Aptos Display" w:hAnsi="Aptos Display"/>
          <w:b/>
          <w:i w:val="0"/>
          <w:color w:val="1C8A78"/>
          <w:sz w:val="38"/>
        </w:rPr>
        <w:t>pour les directions finance et comptabilité</w:t>
      </w:r>
    </w:p>
    <w:p>
      <w:pPr>
        <w:spacing w:after="60"/>
      </w:pPr>
      <w:r>
        <w:rPr>
          <w:rFonts w:ascii="Aptos" w:hAnsi="Aptos"/>
          <w:b w:val="0"/>
          <w:i w:val="0"/>
          <w:color w:val="6B7C93"/>
          <w:sz w:val="25"/>
        </w:rPr>
        <w:t>DAF · Contrôle de gestion · Comptabilité · Audit interne · Trésorerie</w:t>
      </w:r>
    </w:p>
    <w:p>
      <w:pPr>
        <w:spacing w:after="60"/>
      </w:pPr>
      <w:r>
        <w:rPr>
          <w:rFonts w:ascii="Aptos" w:hAnsi="Aptos"/>
          <w:b w:val="0"/>
          <w:i w:val="0"/>
          <w:color w:val="6B7C93"/>
          <w:sz w:val="25"/>
        </w:rPr>
        <w:t>Document de présentation sectoriel | Présentiel · Hybride · En ligne</w:t>
      </w:r>
    </w:p>
    <w:p>
      <w:pPr>
        <w:keepNext/>
        <w:pageBreakBefore w:val="0"/>
        <w:spacing w:before="200" w:after="60"/>
      </w:pPr>
      <w:r>
        <w:rPr>
          <w:rFonts w:ascii="Aptos" w:hAnsi="Aptos"/>
          <w:b/>
          <w:i w:val="0"/>
          <w:color w:val="EF6C12"/>
          <w:sz w:val="36"/>
        </w:rPr>
        <w:t xml:space="preserve">▌ </w:t>
      </w:r>
      <w:r>
        <w:rPr>
          <w:rFonts w:ascii="Aptos Display" w:hAnsi="Aptos Display"/>
          <w:b/>
          <w:i w:val="0"/>
          <w:color w:val="1C3963"/>
          <w:sz w:val="39"/>
        </w:rPr>
        <w:t>PROMESSE CENTRALE</w:t>
      </w:r>
    </w:p>
    <w:p>
      <w:pPr>
        <w:spacing w:after="60"/>
      </w:pPr>
      <w:r>
        <w:rPr>
          <w:rFonts w:ascii="Aptos" w:hAnsi="Aptos"/>
          <w:b w:val="0"/>
          <w:i w:val="0"/>
          <w:color w:val="1C3963"/>
          <w:sz w:val="26"/>
        </w:rPr>
        <w:t>Transformer l’IA en usages concrets, activables et gouvernés pour accélérer le reporting, renforcer les contrôles, fiabiliser les analyses et mieux préparer les arbitrages financiers.</w:t>
      </w:r>
    </w:p>
    <w:p>
      <w:pPr>
        <w:keepNext/>
        <w:pageBreakBefore w:val="0"/>
        <w:spacing w:before="160" w:after="60"/>
      </w:pPr>
      <w:r>
        <w:rPr>
          <w:rFonts w:ascii="Aptos" w:hAnsi="Aptos"/>
          <w:b/>
          <w:i w:val="0"/>
          <w:color w:val="EF6C12"/>
          <w:sz w:val="36"/>
        </w:rPr>
        <w:t xml:space="preserve">▌ </w:t>
      </w:r>
      <w:r>
        <w:rPr>
          <w:rFonts w:ascii="Aptos Display" w:hAnsi="Aptos Display"/>
          <w:b/>
          <w:i w:val="0"/>
          <w:color w:val="1C3963"/>
          <w:sz w:val="39"/>
        </w:rPr>
        <w:t>POSITIONNEMENT DE L’OFFRE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866"/>
      </w:tblGrid>
      <w:tr>
        <w:tc>
          <w:tcPr>
            <w:tcW w:type="dxa" w:w="9354"/>
            <w:vAlign w:val="center"/>
            <w:shd w:fill="F8F3EC"/>
            <w:tcBorders>
              <w:top w:val="single" w:sz="8" w:color="F1A56E"/>
              <w:left w:val="single" w:sz="8" w:color="F1A56E"/>
              <w:bottom w:val="single" w:sz="8" w:color="F1A56E"/>
              <w:right w:val="single" w:sz="8" w:color="F1A56E"/>
            </w:tcBorders>
          </w:tcPr>
          <w:p>
            <w:pPr>
              <w:spacing w:after="60"/>
            </w:pPr>
            <w:r>
              <w:rPr>
                <w:rFonts w:ascii="Aptos Display" w:hAnsi="Aptos Display"/>
                <w:b/>
                <w:i w:val="0"/>
                <w:color w:val="1C3963"/>
                <w:sz w:val="32"/>
              </w:rPr>
              <w:t>Proposition ciblée</w:t>
            </w:r>
          </w:p>
          <w:p>
            <w:pPr>
              <w:spacing w:after="0"/>
            </w:pPr>
            <w:r>
              <w:rPr>
                <w:rFonts w:ascii="Aptos" w:hAnsi="Aptos"/>
                <w:b w:val="0"/>
                <w:i w:val="0"/>
                <w:color w:val="1C3963"/>
                <w:sz w:val="25"/>
              </w:rPr>
              <w:t>TransferAI propose une trajectoire simple et pilotable : identifier les processus les plus répétitifs, renforcer les capacités d’analyse, sécuriser le cadre de confiance et lancer un premier pilote mesurable autour du reporting, des contrôles ou de la pré-clôture.</w:t>
            </w:r>
          </w:p>
        </w:tc>
      </w:tr>
    </w:tbl>
    <w:p>
      <w:pPr>
        <w:keepNext/>
        <w:pageBreakBefore w:val="0"/>
        <w:spacing w:before="160" w:after="60"/>
      </w:pPr>
      <w:r>
        <w:rPr>
          <w:rFonts w:ascii="Aptos" w:hAnsi="Aptos"/>
          <w:b/>
          <w:i w:val="0"/>
          <w:color w:val="EF6C12"/>
          <w:sz w:val="36"/>
        </w:rPr>
        <w:t xml:space="preserve">▌ </w:t>
      </w:r>
      <w:r>
        <w:rPr>
          <w:rFonts w:ascii="Aptos Display" w:hAnsi="Aptos Display"/>
          <w:b/>
          <w:i w:val="0"/>
          <w:color w:val="1C3963"/>
          <w:sz w:val="39"/>
        </w:rPr>
        <w:t>BÉNÉFICES MÉTIER VISIBLES</w:t>
      </w:r>
    </w:p>
    <w:p>
      <w:pPr>
        <w:pStyle w:val="ListBullet"/>
        <w:spacing w:after="20"/>
      </w:pPr>
      <w:r>
        <w:rPr>
          <w:rFonts w:ascii="Aptos" w:hAnsi="Aptos"/>
          <w:b w:val="0"/>
          <w:i w:val="0"/>
          <w:color w:val="1C3963"/>
          <w:sz w:val="24"/>
        </w:rPr>
        <w:t>Temps de préparation des reportings, notes et supports de comité réduit.</w:t>
      </w:r>
    </w:p>
    <w:p>
      <w:pPr>
        <w:pStyle w:val="ListBullet"/>
        <w:spacing w:after="20"/>
      </w:pPr>
      <w:r>
        <w:rPr>
          <w:rFonts w:ascii="Aptos" w:hAnsi="Aptos"/>
          <w:b w:val="0"/>
          <w:i w:val="0"/>
          <w:color w:val="1C3963"/>
          <w:sz w:val="24"/>
        </w:rPr>
        <w:t>Écarts, anomalies et points de vigilance mieux identifiés avant arbitrage humain.</w:t>
      </w:r>
    </w:p>
    <w:p>
      <w:pPr>
        <w:pStyle w:val="ListBullet"/>
        <w:spacing w:after="20"/>
      </w:pPr>
      <w:r>
        <w:rPr>
          <w:rFonts w:ascii="Aptos" w:hAnsi="Aptos"/>
          <w:b w:val="0"/>
          <w:i w:val="0"/>
          <w:color w:val="1C3963"/>
          <w:sz w:val="24"/>
        </w:rPr>
        <w:t>Synthèses financières plus lisibles pour les décideurs et les comités.</w:t>
      </w:r>
    </w:p>
    <w:p>
      <w:pPr>
        <w:pStyle w:val="ListBullet"/>
        <w:spacing w:after="20"/>
      </w:pPr>
      <w:r>
        <w:rPr>
          <w:rFonts w:ascii="Aptos" w:hAnsi="Aptos"/>
          <w:b w:val="0"/>
          <w:i w:val="0"/>
          <w:color w:val="1C3963"/>
          <w:sz w:val="24"/>
        </w:rPr>
        <w:t>Contrôles plus homogènes entre comptabilité, contrôle de gestion, audit et trésorerie.</w:t>
      </w:r>
    </w:p>
    <w:p>
      <w:pPr>
        <w:keepNext/>
        <w:pageBreakBefore/>
        <w:spacing w:before="0" w:after="60"/>
      </w:pPr>
      <w:r>
        <w:rPr>
          <w:rFonts w:ascii="Aptos" w:hAnsi="Aptos"/>
          <w:b/>
          <w:i w:val="0"/>
          <w:color w:val="EF6C12"/>
          <w:sz w:val="36"/>
        </w:rPr>
        <w:t xml:space="preserve">▌ </w:t>
      </w:r>
      <w:r>
        <w:rPr>
          <w:rFonts w:ascii="Aptos Display" w:hAnsi="Aptos Display"/>
          <w:b/>
          <w:i w:val="0"/>
          <w:color w:val="1C3963"/>
          <w:sz w:val="39"/>
        </w:rPr>
        <w:t>01 - SYNTHÈSE EXÉCUTIVE FINANCE &amp; COMPTABILITÉ</w:t>
      </w:r>
    </w:p>
    <w:p>
      <w:pPr>
        <w:spacing w:after="60"/>
      </w:pPr>
      <w:r>
        <w:rPr>
          <w:rFonts w:ascii="Aptos" w:hAnsi="Aptos"/>
          <w:b w:val="0"/>
          <w:i w:val="0"/>
          <w:color w:val="1C3963"/>
          <w:sz w:val="25"/>
        </w:rPr>
        <w:t>Dans la finance et la comptabilité, la valeur de l’IA se lit d’abord dans la réduction des délais de lecture, de consolidation et de préparation des arbitrages, sans compromis sur la fiabilité, la traçabilité et la supervision humaine.</w:t>
      </w:r>
    </w:p>
    <w:p>
      <w:pPr>
        <w:keepNext/>
        <w:spacing w:before="100" w:after="60"/>
      </w:pPr>
      <w:r>
        <w:rPr>
          <w:rFonts w:ascii="Aptos Display" w:hAnsi="Aptos Display"/>
          <w:b/>
          <w:i w:val="0"/>
          <w:color w:val="1C3963"/>
          <w:sz w:val="30"/>
        </w:rPr>
        <w:t>Priorités métier les plus crédibles</w:t>
      </w:r>
    </w:p>
    <w:p>
      <w:pPr>
        <w:pStyle w:val="ListBullet"/>
        <w:spacing w:after="20"/>
      </w:pPr>
      <w:r>
        <w:rPr>
          <w:rFonts w:ascii="Aptos" w:hAnsi="Aptos"/>
          <w:b w:val="0"/>
          <w:i w:val="0"/>
          <w:color w:val="1C3963"/>
          <w:sz w:val="25"/>
        </w:rPr>
        <w:t>Reporting financier encore lourd à produire, commenter et reformater.</w:t>
      </w:r>
    </w:p>
    <w:p>
      <w:pPr>
        <w:pStyle w:val="ListBullet"/>
        <w:spacing w:after="20"/>
      </w:pPr>
      <w:r>
        <w:rPr>
          <w:rFonts w:ascii="Aptos" w:hAnsi="Aptos"/>
          <w:b w:val="0"/>
          <w:i w:val="0"/>
          <w:color w:val="1C3963"/>
          <w:sz w:val="25"/>
        </w:rPr>
        <w:t>Revues de cohérence et contrôles encore très artisanaux sur de nombreux périmètres.</w:t>
      </w:r>
    </w:p>
    <w:p>
      <w:pPr>
        <w:pStyle w:val="ListBullet"/>
        <w:spacing w:after="20"/>
      </w:pPr>
      <w:r>
        <w:rPr>
          <w:rFonts w:ascii="Aptos" w:hAnsi="Aptos"/>
          <w:b w:val="0"/>
          <w:i w:val="0"/>
          <w:color w:val="1C3963"/>
          <w:sz w:val="25"/>
        </w:rPr>
        <w:t>Décisions retardées faute de lecture rapide et exploitable des KPI.</w:t>
      </w:r>
    </w:p>
    <w:p>
      <w:pPr>
        <w:pStyle w:val="ListBullet"/>
        <w:spacing w:after="20"/>
      </w:pPr>
      <w:r>
        <w:rPr>
          <w:rFonts w:ascii="Aptos" w:hAnsi="Aptos"/>
          <w:b w:val="0"/>
          <w:i w:val="0"/>
          <w:color w:val="1C3963"/>
          <w:sz w:val="25"/>
        </w:rPr>
        <w:t>Demandes ad hoc répétitives qui perturbent la cadence des équipes finance.</w:t>
      </w:r>
    </w:p>
    <w:p>
      <w:pPr>
        <w:keepNext/>
        <w:spacing w:before="100" w:after="60"/>
      </w:pPr>
      <w:r>
        <w:rPr>
          <w:rFonts w:ascii="Aptos Display" w:hAnsi="Aptos Display"/>
          <w:b/>
          <w:i w:val="0"/>
          <w:color w:val="1C3963"/>
          <w:sz w:val="30"/>
        </w:rPr>
        <w:t>KPI de référence</w:t>
      </w:r>
    </w:p>
    <w:p>
      <w:pPr>
        <w:pStyle w:val="ListBullet"/>
        <w:spacing w:after="20"/>
      </w:pPr>
      <w:r>
        <w:rPr>
          <w:rFonts w:ascii="Aptos" w:hAnsi="Aptos"/>
          <w:b w:val="0"/>
          <w:i w:val="0"/>
          <w:color w:val="1C3963"/>
          <w:sz w:val="25"/>
        </w:rPr>
        <w:t>Temps de production du reporting mensuel et délai de diffusion.</w:t>
      </w:r>
    </w:p>
    <w:p>
      <w:pPr>
        <w:pStyle w:val="ListBullet"/>
        <w:spacing w:after="20"/>
      </w:pPr>
      <w:r>
        <w:rPr>
          <w:rFonts w:ascii="Aptos" w:hAnsi="Aptos"/>
          <w:b w:val="0"/>
          <w:i w:val="0"/>
          <w:color w:val="1C3963"/>
          <w:sz w:val="25"/>
        </w:rPr>
        <w:t>Temps de revue avant clôture et nombre d’anomalies détectées plus tôt.</w:t>
      </w:r>
    </w:p>
    <w:p>
      <w:pPr>
        <w:pStyle w:val="ListBullet"/>
        <w:spacing w:after="20"/>
      </w:pPr>
      <w:r>
        <w:rPr>
          <w:rFonts w:ascii="Aptos" w:hAnsi="Aptos"/>
          <w:b w:val="0"/>
          <w:i w:val="0"/>
          <w:color w:val="1C3963"/>
          <w:sz w:val="25"/>
        </w:rPr>
        <w:t>Temps de préparation des comités et délai d’arbitrage.</w:t>
      </w:r>
    </w:p>
    <w:p>
      <w:pPr>
        <w:pStyle w:val="ListBullet"/>
        <w:spacing w:after="20"/>
      </w:pPr>
      <w:r>
        <w:rPr>
          <w:rFonts w:ascii="Aptos" w:hAnsi="Aptos"/>
          <w:b w:val="0"/>
          <w:i w:val="0"/>
          <w:color w:val="1C3963"/>
          <w:sz w:val="25"/>
        </w:rPr>
        <w:t>Volume de demandes récurrentes traitées à l’aide de trames réutilisables.</w:t>
      </w:r>
    </w:p>
    <w:p>
      <w:pPr>
        <w:keepNext/>
        <w:spacing w:before="100" w:after="60"/>
      </w:pPr>
      <w:r>
        <w:rPr>
          <w:rFonts w:ascii="Aptos Display" w:hAnsi="Aptos Display"/>
          <w:b/>
          <w:i w:val="0"/>
          <w:color w:val="1C3963"/>
          <w:sz w:val="30"/>
        </w:rPr>
        <w:t>Approche recommandée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866"/>
      </w:tblGrid>
      <w:tr>
        <w:tc>
          <w:tcPr>
            <w:tcW w:type="dxa" w:w="9354"/>
            <w:vAlign w:val="center"/>
            <w:shd w:fill="F8F3EC"/>
            <w:tcBorders>
              <w:top w:val="single" w:sz="8" w:color="F1A56E"/>
              <w:left w:val="single" w:sz="8" w:color="F1A56E"/>
              <w:bottom w:val="single" w:sz="8" w:color="F1A56E"/>
              <w:right w:val="single" w:sz="8" w:color="F1A56E"/>
            </w:tcBorders>
          </w:tcPr>
          <w:p>
            <w:pPr>
              <w:spacing w:after="60"/>
            </w:pPr>
            <w:r>
              <w:rPr>
                <w:rFonts w:ascii="Aptos Display" w:hAnsi="Aptos Display"/>
                <w:b/>
                <w:i w:val="0"/>
                <w:color w:val="1C3963"/>
                <w:sz w:val="32"/>
              </w:rPr>
              <w:t>Séquence recommandée</w:t>
            </w:r>
          </w:p>
          <w:p>
            <w:pPr>
              <w:spacing w:after="0"/>
            </w:pPr>
            <w:r>
              <w:rPr>
                <w:rFonts w:ascii="Aptos" w:hAnsi="Aptos"/>
                <w:b w:val="0"/>
                <w:i w:val="0"/>
                <w:color w:val="1C3963"/>
                <w:sz w:val="25"/>
              </w:rPr>
              <w:t>Audit IA gratuit, cadrage de deux processus prioritaires, bootcamp ciblé pour décideurs et équipes finance, puis accompagnement sur 90 jours avec KPI simples, supervision humaine et décision d’extension.</w:t>
            </w:r>
          </w:p>
        </w:tc>
      </w:tr>
    </w:tbl>
    <w:p>
      <w:pPr>
        <w:keepNext/>
        <w:spacing w:before="100" w:after="60"/>
      </w:pPr>
      <w:r>
        <w:rPr>
          <w:rFonts w:ascii="Aptos Display" w:hAnsi="Aptos Display"/>
          <w:b/>
          <w:i w:val="0"/>
          <w:color w:val="1C3963"/>
          <w:sz w:val="30"/>
        </w:rPr>
        <w:t>Résultats attendus</w:t>
      </w:r>
    </w:p>
    <w:p>
      <w:pPr>
        <w:pStyle w:val="ListBullet"/>
        <w:spacing w:after="20"/>
      </w:pPr>
      <w:r>
        <w:rPr>
          <w:rFonts w:ascii="Aptos" w:hAnsi="Aptos"/>
          <w:b w:val="0"/>
          <w:i w:val="0"/>
          <w:color w:val="1C3963"/>
          <w:sz w:val="25"/>
        </w:rPr>
        <w:t>Reporting plus rapide et mieux structuré pour la direction.</w:t>
      </w:r>
    </w:p>
    <w:p>
      <w:pPr>
        <w:pStyle w:val="ListBullet"/>
        <w:spacing w:after="20"/>
      </w:pPr>
      <w:r>
        <w:rPr>
          <w:rFonts w:ascii="Aptos" w:hAnsi="Aptos"/>
          <w:b w:val="0"/>
          <w:i w:val="0"/>
          <w:color w:val="1C3963"/>
          <w:sz w:val="25"/>
        </w:rPr>
        <w:t>Revue plus prévisible des écarts, anomalies et exceptions.</w:t>
      </w:r>
    </w:p>
    <w:p>
      <w:pPr>
        <w:pStyle w:val="ListBullet"/>
        <w:spacing w:after="20"/>
      </w:pPr>
      <w:r>
        <w:rPr>
          <w:rFonts w:ascii="Aptos" w:hAnsi="Aptos"/>
          <w:b w:val="0"/>
          <w:i w:val="0"/>
          <w:color w:val="1C3963"/>
          <w:sz w:val="25"/>
        </w:rPr>
        <w:t>Arbitrages mieux documentés grâce à des notes et commentaires plus lisibles.</w:t>
      </w:r>
    </w:p>
    <w:p>
      <w:pPr>
        <w:pStyle w:val="ListBullet"/>
        <w:spacing w:after="20"/>
      </w:pPr>
      <w:r>
        <w:rPr>
          <w:rFonts w:ascii="Aptos" w:hAnsi="Aptos"/>
          <w:b w:val="0"/>
          <w:i w:val="0"/>
          <w:color w:val="1C3963"/>
          <w:sz w:val="25"/>
        </w:rPr>
        <w:t>Première feuille de route claire sur les usages IA à lancer en finance.</w:t>
      </w:r>
    </w:p>
    <w:p>
      <w:pPr>
        <w:keepNext/>
        <w:pageBreakBefore/>
        <w:spacing w:before="0" w:after="60"/>
      </w:pPr>
      <w:r>
        <w:rPr>
          <w:rFonts w:ascii="Aptos" w:hAnsi="Aptos"/>
          <w:b/>
          <w:i w:val="0"/>
          <w:color w:val="EF6C12"/>
          <w:sz w:val="36"/>
        </w:rPr>
        <w:t xml:space="preserve">▌ </w:t>
      </w:r>
      <w:r>
        <w:rPr>
          <w:rFonts w:ascii="Aptos Display" w:hAnsi="Aptos Display"/>
          <w:b/>
          <w:i w:val="0"/>
          <w:color w:val="1C3963"/>
          <w:sz w:val="39"/>
        </w:rPr>
        <w:t>02 - FORMULE PRIORITAIRE</w:t>
      </w:r>
    </w:p>
    <w:p>
      <w:pPr>
        <w:keepNext/>
        <w:spacing w:before="40" w:after="40"/>
      </w:pPr>
      <w:r>
        <w:rPr>
          <w:rFonts w:ascii="Aptos Display" w:hAnsi="Aptos Display"/>
          <w:b/>
          <w:i w:val="0"/>
          <w:color w:val="1C3963"/>
          <w:sz w:val="27"/>
        </w:rPr>
        <w:t>Intitulé</w:t>
      </w:r>
    </w:p>
    <w:p>
      <w:pPr>
        <w:spacing w:after="60"/>
      </w:pPr>
      <w:r>
        <w:rPr>
          <w:rFonts w:ascii="Aptos" w:hAnsi="Aptos"/>
          <w:b w:val="0"/>
          <w:i w:val="0"/>
          <w:color w:val="1C3963"/>
          <w:sz w:val="24"/>
        </w:rPr>
        <w:t>Bootcamp IA Finance &amp; Comptabilité : de l’acculturation utile au premier pilote mesurable.</w:t>
      </w:r>
    </w:p>
    <w:p>
      <w:pPr>
        <w:keepNext/>
        <w:spacing w:before="40" w:after="40"/>
      </w:pPr>
      <w:r>
        <w:rPr>
          <w:rFonts w:ascii="Aptos Display" w:hAnsi="Aptos Display"/>
          <w:b/>
          <w:i w:val="0"/>
          <w:color w:val="1C3963"/>
          <w:sz w:val="27"/>
        </w:rPr>
        <w:t>Public cible</w:t>
      </w:r>
    </w:p>
    <w:p>
      <w:pPr>
        <w:spacing w:after="60"/>
      </w:pPr>
      <w:r>
        <w:rPr>
          <w:rFonts w:ascii="Aptos" w:hAnsi="Aptos"/>
          <w:b w:val="0"/>
          <w:i w:val="0"/>
          <w:color w:val="1C3963"/>
          <w:sz w:val="24"/>
        </w:rPr>
        <w:t>Directions financières, contrôle de gestion, comptabilité, audit interne, trésorerie.</w:t>
      </w:r>
    </w:p>
    <w:p>
      <w:pPr>
        <w:keepNext/>
        <w:spacing w:before="40" w:after="40"/>
      </w:pPr>
      <w:r>
        <w:rPr>
          <w:rFonts w:ascii="Aptos Display" w:hAnsi="Aptos Display"/>
          <w:b/>
          <w:i w:val="0"/>
          <w:color w:val="1C3963"/>
          <w:sz w:val="27"/>
        </w:rPr>
        <w:t>Formats possibles</w:t>
      </w:r>
    </w:p>
    <w:p>
      <w:pPr>
        <w:pStyle w:val="ListBullet"/>
        <w:spacing w:after="0"/>
      </w:pPr>
      <w:r>
        <w:rPr>
          <w:rFonts w:ascii="Aptos" w:hAnsi="Aptos"/>
          <w:b w:val="0"/>
          <w:i w:val="0"/>
          <w:color w:val="1C3963"/>
          <w:sz w:val="23"/>
        </w:rPr>
        <w:t>Présentiel</w:t>
      </w:r>
    </w:p>
    <w:p>
      <w:pPr>
        <w:pStyle w:val="ListBullet"/>
        <w:spacing w:after="0"/>
      </w:pPr>
      <w:r>
        <w:rPr>
          <w:rFonts w:ascii="Aptos" w:hAnsi="Aptos"/>
          <w:b w:val="0"/>
          <w:i w:val="0"/>
          <w:color w:val="1C3963"/>
          <w:sz w:val="23"/>
        </w:rPr>
        <w:t>Hybride</w:t>
      </w:r>
    </w:p>
    <w:p>
      <w:pPr>
        <w:pStyle w:val="ListBullet"/>
        <w:spacing w:after="0"/>
      </w:pPr>
      <w:r>
        <w:rPr>
          <w:rFonts w:ascii="Aptos" w:hAnsi="Aptos"/>
          <w:b w:val="0"/>
          <w:i w:val="0"/>
          <w:color w:val="1C3963"/>
          <w:sz w:val="23"/>
        </w:rPr>
        <w:t>En ligne (style webinaire)</w:t>
      </w:r>
    </w:p>
    <w:p>
      <w:pPr>
        <w:keepNext/>
        <w:spacing w:before="40" w:after="40"/>
      </w:pPr>
      <w:r>
        <w:rPr>
          <w:rFonts w:ascii="Aptos Display" w:hAnsi="Aptos Display"/>
          <w:b/>
          <w:i w:val="0"/>
          <w:color w:val="1C3963"/>
          <w:sz w:val="27"/>
        </w:rPr>
        <w:t>Niveaux</w:t>
      </w:r>
    </w:p>
    <w:p>
      <w:pPr>
        <w:pStyle w:val="ListBullet"/>
        <w:spacing w:after="0"/>
      </w:pPr>
      <w:r>
        <w:rPr>
          <w:rFonts w:ascii="Aptos" w:hAnsi="Aptos"/>
          <w:b w:val="0"/>
          <w:i w:val="0"/>
          <w:color w:val="1C3963"/>
          <w:sz w:val="23"/>
        </w:rPr>
        <w:t>Débutant</w:t>
      </w:r>
    </w:p>
    <w:p>
      <w:pPr>
        <w:pStyle w:val="ListBullet"/>
        <w:spacing w:after="0"/>
      </w:pPr>
      <w:r>
        <w:rPr>
          <w:rFonts w:ascii="Aptos" w:hAnsi="Aptos"/>
          <w:b w:val="0"/>
          <w:i w:val="0"/>
          <w:color w:val="1C3963"/>
          <w:sz w:val="23"/>
        </w:rPr>
        <w:t>Intermédiaire</w:t>
      </w:r>
    </w:p>
    <w:p>
      <w:pPr>
        <w:pStyle w:val="ListBullet"/>
        <w:spacing w:after="0"/>
      </w:pPr>
      <w:r>
        <w:rPr>
          <w:rFonts w:ascii="Aptos" w:hAnsi="Aptos"/>
          <w:b w:val="0"/>
          <w:i w:val="0"/>
          <w:color w:val="1C3963"/>
          <w:sz w:val="23"/>
        </w:rPr>
        <w:t>Avancé</w:t>
      </w:r>
    </w:p>
    <w:p>
      <w:pPr>
        <w:keepNext/>
        <w:spacing w:before="40" w:after="40"/>
      </w:pPr>
      <w:r>
        <w:rPr>
          <w:rFonts w:ascii="Aptos Display" w:hAnsi="Aptos Display"/>
          <w:b/>
          <w:i w:val="0"/>
          <w:color w:val="1C3963"/>
          <w:sz w:val="27"/>
        </w:rPr>
        <w:t>Durée</w:t>
      </w:r>
    </w:p>
    <w:p>
      <w:pPr>
        <w:pStyle w:val="ListBullet"/>
        <w:spacing w:after="0"/>
      </w:pPr>
      <w:r>
        <w:rPr>
          <w:rFonts w:ascii="Aptos" w:hAnsi="Aptos"/>
          <w:b w:val="0"/>
          <w:i w:val="0"/>
          <w:color w:val="1C3963"/>
          <w:sz w:val="23"/>
        </w:rPr>
        <w:t>1 jour : version décideurs et managers.</w:t>
      </w:r>
    </w:p>
    <w:p>
      <w:pPr>
        <w:pStyle w:val="ListBullet"/>
        <w:spacing w:after="0"/>
      </w:pPr>
      <w:r>
        <w:rPr>
          <w:rFonts w:ascii="Aptos" w:hAnsi="Aptos"/>
          <w:b w:val="0"/>
          <w:i w:val="0"/>
          <w:color w:val="1C3963"/>
          <w:sz w:val="23"/>
        </w:rPr>
        <w:t>2 jours : version équipes, managers et mise en pratique.</w:t>
      </w:r>
    </w:p>
    <w:p>
      <w:pPr>
        <w:keepNext/>
        <w:spacing w:before="40" w:after="40"/>
      </w:pPr>
      <w:r>
        <w:rPr>
          <w:rFonts w:ascii="Aptos Display" w:hAnsi="Aptos Display"/>
          <w:b/>
          <w:i w:val="0"/>
          <w:color w:val="1C3963"/>
          <w:sz w:val="27"/>
        </w:rPr>
        <w:t>Tarif</w:t>
      </w:r>
    </w:p>
    <w:p>
      <w:pPr>
        <w:spacing w:after="60"/>
      </w:pPr>
      <w:r>
        <w:rPr>
          <w:rFonts w:ascii="Aptos" w:hAnsi="Aptos"/>
          <w:b w:val="0"/>
          <w:i w:val="0"/>
          <w:color w:val="1C3963"/>
          <w:sz w:val="24"/>
        </w:rPr>
        <w:t>Prix sur demande.</w:t>
      </w:r>
    </w:p>
    <w:p>
      <w:pPr>
        <w:keepNext/>
        <w:spacing w:before="40" w:after="40"/>
      </w:pPr>
      <w:r>
        <w:rPr>
          <w:rFonts w:ascii="Aptos Display" w:hAnsi="Aptos Display"/>
          <w:b/>
          <w:i w:val="0"/>
          <w:color w:val="1C3963"/>
          <w:sz w:val="27"/>
        </w:rPr>
        <w:t>Objectifs pédagogiques</w:t>
      </w:r>
    </w:p>
    <w:p>
      <w:pPr>
        <w:pStyle w:val="ListBullet"/>
        <w:spacing w:after="0"/>
      </w:pPr>
      <w:r>
        <w:rPr>
          <w:rFonts w:ascii="Aptos" w:hAnsi="Aptos"/>
          <w:b w:val="0"/>
          <w:i w:val="0"/>
          <w:color w:val="1C3963"/>
          <w:sz w:val="23"/>
        </w:rPr>
        <w:t>Identifier les priorités métier les plus crédibles à traiter par l’IA en finance et comptabilité.</w:t>
      </w:r>
    </w:p>
    <w:p>
      <w:pPr>
        <w:pStyle w:val="ListBullet"/>
        <w:spacing w:after="0"/>
      </w:pPr>
      <w:r>
        <w:rPr>
          <w:rFonts w:ascii="Aptos" w:hAnsi="Aptos"/>
          <w:b w:val="0"/>
          <w:i w:val="0"/>
          <w:color w:val="1C3963"/>
          <w:sz w:val="23"/>
        </w:rPr>
        <w:t>Structurer les usages liés au reporting, à la pré-clôture, aux contrôles et à l’audit interne.</w:t>
      </w:r>
    </w:p>
    <w:p>
      <w:pPr>
        <w:pStyle w:val="ListBullet"/>
        <w:spacing w:after="0"/>
      </w:pPr>
      <w:r>
        <w:rPr>
          <w:rFonts w:ascii="Aptos" w:hAnsi="Aptos"/>
          <w:b w:val="0"/>
          <w:i w:val="0"/>
          <w:color w:val="1C3963"/>
          <w:sz w:val="23"/>
        </w:rPr>
        <w:t>Distinguer les usages activables rapidement, ceux à encadrer et ceux à piloter dans le temps.</w:t>
      </w:r>
    </w:p>
    <w:p>
      <w:pPr>
        <w:pStyle w:val="ListBullet"/>
        <w:spacing w:after="0"/>
      </w:pPr>
      <w:r>
        <w:rPr>
          <w:rFonts w:ascii="Aptos" w:hAnsi="Aptos"/>
          <w:b w:val="0"/>
          <w:i w:val="0"/>
          <w:color w:val="1C3963"/>
          <w:sz w:val="23"/>
        </w:rPr>
        <w:t>Définir des KPI simples, un cadre de confiance et un premier plan d’action à 90 jours.</w:t>
      </w:r>
    </w:p>
    <w:p>
      <w:pPr>
        <w:keepNext/>
        <w:spacing w:before="40" w:after="40"/>
      </w:pPr>
      <w:r>
        <w:rPr>
          <w:rFonts w:ascii="Aptos Display" w:hAnsi="Aptos Display"/>
          <w:b/>
          <w:i w:val="0"/>
          <w:color w:val="1C3963"/>
          <w:sz w:val="27"/>
        </w:rPr>
        <w:t>Formations proposées</w:t>
      </w:r>
    </w:p>
    <w:p>
      <w:pPr>
        <w:pStyle w:val="ListBullet"/>
        <w:spacing w:after="0"/>
      </w:pPr>
      <w:r>
        <w:rPr>
          <w:rFonts w:ascii="Aptos" w:hAnsi="Aptos"/>
          <w:b w:val="0"/>
          <w:i w:val="0"/>
          <w:color w:val="1C3963"/>
          <w:sz w:val="23"/>
        </w:rPr>
        <w:t>Reporting financier automatisé et commentaires de performance.</w:t>
      </w:r>
    </w:p>
    <w:p>
      <w:pPr>
        <w:pStyle w:val="ListBullet"/>
        <w:spacing w:after="0"/>
      </w:pPr>
      <w:r>
        <w:rPr>
          <w:rFonts w:ascii="Aptos" w:hAnsi="Aptos"/>
          <w:b w:val="0"/>
          <w:i w:val="0"/>
          <w:color w:val="1C3963"/>
          <w:sz w:val="23"/>
        </w:rPr>
        <w:t>Pré-clôture et détection d’anomalies assistées par l’IA.</w:t>
      </w:r>
    </w:p>
    <w:p>
      <w:pPr>
        <w:pStyle w:val="ListBullet"/>
        <w:spacing w:after="0"/>
      </w:pPr>
      <w:r>
        <w:rPr>
          <w:rFonts w:ascii="Aptos" w:hAnsi="Aptos"/>
          <w:b w:val="0"/>
          <w:i w:val="0"/>
          <w:color w:val="1C3963"/>
          <w:sz w:val="23"/>
        </w:rPr>
        <w:t>Audit interne augmenté et préparation documentaire.</w:t>
      </w:r>
    </w:p>
    <w:p>
      <w:pPr>
        <w:pStyle w:val="ListBullet"/>
        <w:spacing w:after="0"/>
      </w:pPr>
      <w:r>
        <w:rPr>
          <w:rFonts w:ascii="Aptos" w:hAnsi="Aptos"/>
          <w:b w:val="0"/>
          <w:i w:val="0"/>
          <w:color w:val="1C3963"/>
          <w:sz w:val="23"/>
        </w:rPr>
        <w:t>Prévisions budgétaires, trésorerie et lecture des hypothèses.</w:t>
      </w:r>
    </w:p>
    <w:p>
      <w:pPr>
        <w:pStyle w:val="ListBullet"/>
        <w:spacing w:after="0"/>
      </w:pPr>
      <w:r>
        <w:rPr>
          <w:rFonts w:ascii="Aptos" w:hAnsi="Aptos"/>
          <w:b w:val="0"/>
          <w:i w:val="0"/>
          <w:color w:val="1C3963"/>
          <w:sz w:val="23"/>
        </w:rPr>
        <w:t>Cadre de confiance, gouvernance et supervision humaine des usages IA.</w:t>
      </w:r>
    </w:p>
    <w:p>
      <w:pPr>
        <w:keepNext/>
        <w:pageBreakBefore/>
        <w:spacing w:before="0" w:after="60"/>
      </w:pPr>
      <w:r>
        <w:rPr>
          <w:rFonts w:ascii="Aptos" w:hAnsi="Aptos"/>
          <w:b/>
          <w:i w:val="0"/>
          <w:color w:val="EF6C12"/>
          <w:sz w:val="36"/>
        </w:rPr>
        <w:t xml:space="preserve">▌ </w:t>
      </w:r>
      <w:r>
        <w:rPr>
          <w:rFonts w:ascii="Aptos Display" w:hAnsi="Aptos Display"/>
          <w:b/>
          <w:i w:val="0"/>
          <w:color w:val="1C3963"/>
          <w:sz w:val="39"/>
        </w:rPr>
        <w:t>03 - PROGRAMME PROPOSÉ</w:t>
      </w:r>
    </w:p>
    <w:p>
      <w:pPr>
        <w:keepNext/>
        <w:spacing w:before="100" w:after="60"/>
      </w:pPr>
      <w:r>
        <w:rPr>
          <w:rFonts w:ascii="Aptos Display" w:hAnsi="Aptos Display"/>
          <w:b/>
          <w:i w:val="0"/>
          <w:color w:val="1C3963"/>
          <w:sz w:val="30"/>
        </w:rPr>
        <w:t>Jour 1</w:t>
      </w:r>
    </w:p>
    <w:p>
      <w:pPr>
        <w:pStyle w:val="ListBullet"/>
        <w:spacing w:after="0"/>
      </w:pPr>
      <w:r>
        <w:rPr>
          <w:rFonts w:ascii="Aptos" w:hAnsi="Aptos"/>
          <w:b w:val="0"/>
          <w:i w:val="0"/>
          <w:color w:val="1C3963"/>
          <w:sz w:val="23"/>
        </w:rPr>
        <w:t>Lecture des enjeux finance, cartographie des irritants prioritaires et sélection des premiers gains visés.</w:t>
      </w:r>
    </w:p>
    <w:p>
      <w:pPr>
        <w:pStyle w:val="ListBullet"/>
        <w:spacing w:after="0"/>
      </w:pPr>
      <w:r>
        <w:rPr>
          <w:rFonts w:ascii="Aptos" w:hAnsi="Aptos"/>
          <w:b w:val="0"/>
          <w:i w:val="0"/>
          <w:color w:val="1C3963"/>
          <w:sz w:val="23"/>
        </w:rPr>
        <w:t>Études de cas guidées sur le reporting financier automatisé et la pré-clôture assistée.</w:t>
      </w:r>
    </w:p>
    <w:p>
      <w:pPr>
        <w:pStyle w:val="ListBullet"/>
        <w:spacing w:after="0"/>
      </w:pPr>
      <w:r>
        <w:rPr>
          <w:rFonts w:ascii="Aptos" w:hAnsi="Aptos"/>
          <w:b w:val="0"/>
          <w:i w:val="0"/>
          <w:color w:val="1C3963"/>
          <w:sz w:val="23"/>
        </w:rPr>
        <w:t>Méthodes, prompts, routines et gestes métier autour des synthèses financières et des revues de cohérence.</w:t>
      </w:r>
    </w:p>
    <w:p>
      <w:pPr>
        <w:pStyle w:val="ListBullet"/>
        <w:spacing w:after="0"/>
      </w:pPr>
      <w:r>
        <w:rPr>
          <w:rFonts w:ascii="Aptos" w:hAnsi="Aptos"/>
          <w:b w:val="0"/>
          <w:i w:val="0"/>
          <w:color w:val="1C3963"/>
          <w:sz w:val="23"/>
        </w:rPr>
        <w:t>Cadre de confiance : confidentialité, validation managériale, traçabilité et critères d’extension.</w:t>
      </w:r>
    </w:p>
    <w:p>
      <w:pPr>
        <w:keepNext/>
        <w:spacing w:before="100" w:after="60"/>
      </w:pPr>
      <w:r>
        <w:rPr>
          <w:rFonts w:ascii="Aptos Display" w:hAnsi="Aptos Display"/>
          <w:b/>
          <w:i w:val="0"/>
          <w:color w:val="1C3963"/>
          <w:sz w:val="30"/>
        </w:rPr>
        <w:t>Jour 2</w:t>
      </w:r>
    </w:p>
    <w:p>
      <w:pPr>
        <w:pStyle w:val="ListBullet"/>
        <w:spacing w:after="0"/>
      </w:pPr>
      <w:r>
        <w:rPr>
          <w:rFonts w:ascii="Aptos" w:hAnsi="Aptos"/>
          <w:b w:val="0"/>
          <w:i w:val="0"/>
          <w:color w:val="1C3963"/>
          <w:sz w:val="23"/>
        </w:rPr>
        <w:t>Ateliers de conception sur l’audit interne augmenté, la lecture des écarts et la trésorerie.</w:t>
      </w:r>
    </w:p>
    <w:p>
      <w:pPr>
        <w:pStyle w:val="ListBullet"/>
        <w:spacing w:after="0"/>
      </w:pPr>
      <w:r>
        <w:rPr>
          <w:rFonts w:ascii="Aptos" w:hAnsi="Aptos"/>
          <w:b w:val="0"/>
          <w:i w:val="0"/>
          <w:color w:val="1C3963"/>
          <w:sz w:val="23"/>
        </w:rPr>
        <w:t>Construction d’un premier canevas de pilote, des KPI de suivi et des livrables attendus.</w:t>
      </w:r>
    </w:p>
    <w:p>
      <w:pPr>
        <w:pStyle w:val="ListBullet"/>
        <w:spacing w:after="0"/>
      </w:pPr>
      <w:r>
        <w:rPr>
          <w:rFonts w:ascii="Aptos" w:hAnsi="Aptos"/>
          <w:b w:val="0"/>
          <w:i w:val="0"/>
          <w:color w:val="1C3963"/>
          <w:sz w:val="23"/>
        </w:rPr>
        <w:t>Approfondissements recommandés : prévisions budgétaires, contrôles récurrents, routines d’aide à l’arbitrage.</w:t>
      </w:r>
    </w:p>
    <w:p>
      <w:pPr>
        <w:pStyle w:val="ListBullet"/>
        <w:spacing w:after="0"/>
      </w:pPr>
      <w:r>
        <w:rPr>
          <w:rFonts w:ascii="Aptos" w:hAnsi="Aptos"/>
          <w:b w:val="0"/>
          <w:i w:val="0"/>
          <w:color w:val="1C3963"/>
          <w:sz w:val="23"/>
        </w:rPr>
        <w:t>Plan d’action à 90 jours : gouvernance, équipes à former, priorités de déploiement et décision d’extension.</w:t>
      </w:r>
    </w:p>
    <w:p>
      <w:pPr>
        <w:keepNext/>
        <w:pageBreakBefore w:val="0"/>
        <w:spacing w:before="160" w:after="60"/>
      </w:pPr>
      <w:r>
        <w:rPr>
          <w:rFonts w:ascii="Aptos" w:hAnsi="Aptos"/>
          <w:b/>
          <w:i w:val="0"/>
          <w:color w:val="EF6C12"/>
          <w:sz w:val="36"/>
        </w:rPr>
        <w:t xml:space="preserve">▌ </w:t>
      </w:r>
      <w:r>
        <w:rPr>
          <w:rFonts w:ascii="Aptos Display" w:hAnsi="Aptos Display"/>
          <w:b/>
          <w:i w:val="0"/>
          <w:color w:val="1C3963"/>
          <w:sz w:val="39"/>
        </w:rPr>
        <w:t>04 - LIVRABLES ATTENDUS</w:t>
      </w:r>
    </w:p>
    <w:p>
      <w:pPr>
        <w:pStyle w:val="ListBullet"/>
        <w:spacing w:after="0"/>
      </w:pPr>
      <w:r>
        <w:rPr>
          <w:rFonts w:ascii="Aptos" w:hAnsi="Aptos"/>
          <w:b w:val="0"/>
          <w:i w:val="0"/>
          <w:color w:val="1C3963"/>
          <w:sz w:val="23"/>
        </w:rPr>
        <w:t>Une note de cadrage finance avec priorités confirmées, risques, points de vigilance et premières décisions.</w:t>
      </w:r>
    </w:p>
    <w:p>
      <w:pPr>
        <w:pStyle w:val="ListBullet"/>
        <w:spacing w:after="0"/>
      </w:pPr>
      <w:r>
        <w:rPr>
          <w:rFonts w:ascii="Aptos" w:hAnsi="Aptos"/>
          <w:b w:val="0"/>
          <w:i w:val="0"/>
          <w:color w:val="1C3963"/>
          <w:sz w:val="23"/>
        </w:rPr>
        <w:t>Une matrice des usages prioritaires applicable au reporting, aux contrôles, à la pré-clôture et à l’audit interne.</w:t>
      </w:r>
    </w:p>
    <w:p>
      <w:pPr>
        <w:pStyle w:val="ListBullet"/>
        <w:spacing w:after="0"/>
      </w:pPr>
      <w:r>
        <w:rPr>
          <w:rFonts w:ascii="Aptos" w:hAnsi="Aptos"/>
          <w:b w:val="0"/>
          <w:i w:val="0"/>
          <w:color w:val="1C3963"/>
          <w:sz w:val="23"/>
        </w:rPr>
        <w:t>Un canevas de pilote à 90 jours avec KPI, rôles, supervision et critères de succès.</w:t>
      </w:r>
    </w:p>
    <w:p>
      <w:pPr>
        <w:pStyle w:val="ListBullet"/>
        <w:spacing w:after="0"/>
      </w:pPr>
      <w:r>
        <w:rPr>
          <w:rFonts w:ascii="Aptos" w:hAnsi="Aptos"/>
          <w:b w:val="0"/>
          <w:i w:val="0"/>
          <w:color w:val="1C3963"/>
          <w:sz w:val="23"/>
        </w:rPr>
        <w:t>Une recommandation de parcours de montée en compétences pour les décideurs et les équipes finance ciblées.</w:t>
      </w:r>
    </w:p>
    <w:p>
      <w:pPr>
        <w:keepNext/>
        <w:pageBreakBefore w:val="0"/>
        <w:spacing w:before="160" w:after="60"/>
      </w:pPr>
      <w:r>
        <w:rPr>
          <w:rFonts w:ascii="Aptos" w:hAnsi="Aptos"/>
          <w:b/>
          <w:i w:val="0"/>
          <w:color w:val="EF6C12"/>
          <w:sz w:val="36"/>
        </w:rPr>
        <w:t xml:space="preserve">▌ </w:t>
      </w:r>
      <w:r>
        <w:rPr>
          <w:rFonts w:ascii="Aptos Display" w:hAnsi="Aptos Display"/>
          <w:b/>
          <w:i w:val="0"/>
          <w:color w:val="1C3963"/>
          <w:sz w:val="39"/>
        </w:rPr>
        <w:t>05 - DOMAINES DE RÉFÉRENCE</w:t>
      </w:r>
    </w:p>
    <w:p>
      <w:pPr>
        <w:pStyle w:val="ListBullet"/>
        <w:spacing w:after="0"/>
      </w:pPr>
      <w:r>
        <w:rPr>
          <w:rFonts w:ascii="Aptos" w:hAnsi="Aptos"/>
          <w:b w:val="0"/>
          <w:i w:val="0"/>
          <w:color w:val="1C3963"/>
          <w:sz w:val="23"/>
        </w:rPr>
        <w:t>Direction financière</w:t>
      </w:r>
    </w:p>
    <w:p>
      <w:pPr>
        <w:pStyle w:val="ListBullet"/>
        <w:spacing w:after="0"/>
      </w:pPr>
      <w:r>
        <w:rPr>
          <w:rFonts w:ascii="Aptos" w:hAnsi="Aptos"/>
          <w:b w:val="0"/>
          <w:i w:val="0"/>
          <w:color w:val="1C3963"/>
          <w:sz w:val="23"/>
        </w:rPr>
        <w:t>Contrôle de gestion</w:t>
      </w:r>
    </w:p>
    <w:p>
      <w:pPr>
        <w:pStyle w:val="ListBullet"/>
        <w:spacing w:after="0"/>
      </w:pPr>
      <w:r>
        <w:rPr>
          <w:rFonts w:ascii="Aptos" w:hAnsi="Aptos"/>
          <w:b w:val="0"/>
          <w:i w:val="0"/>
          <w:color w:val="1C3963"/>
          <w:sz w:val="23"/>
        </w:rPr>
        <w:t>Comptabilité générale et analytique</w:t>
      </w:r>
    </w:p>
    <w:p>
      <w:pPr>
        <w:pStyle w:val="ListBullet"/>
        <w:spacing w:after="0"/>
      </w:pPr>
      <w:r>
        <w:rPr>
          <w:rFonts w:ascii="Aptos" w:hAnsi="Aptos"/>
          <w:b w:val="0"/>
          <w:i w:val="0"/>
          <w:color w:val="1C3963"/>
          <w:sz w:val="23"/>
        </w:rPr>
        <w:t>Audit interne</w:t>
      </w:r>
    </w:p>
    <w:p>
      <w:pPr>
        <w:pStyle w:val="ListBullet"/>
        <w:spacing w:after="0"/>
      </w:pPr>
      <w:r>
        <w:rPr>
          <w:rFonts w:ascii="Aptos" w:hAnsi="Aptos"/>
          <w:b w:val="0"/>
          <w:i w:val="0"/>
          <w:color w:val="1C3963"/>
          <w:sz w:val="23"/>
        </w:rPr>
        <w:t>Trésorerie et prévisions budgétaires</w:t>
      </w:r>
    </w:p>
    <w:sectPr w:rsidR="00FC693F" w:rsidRPr="0006063C" w:rsidSect="00034616">
      <w:footerReference w:type="default" r:id="rId9"/>
      <w:pgSz w:w="11906" w:h="16838"/>
      <w:pgMar w:top="113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B7C93"/>
        <w:sz w:val="17"/>
      </w:rPr>
      <w:t>TransferAI Africa | www.transferai.ci | IA Assistant / WhatsApp : +225 07 16 57 39 90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